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50A8F" w14:textId="77777777" w:rsidR="001428E2" w:rsidRPr="001428E2" w:rsidRDefault="001428E2" w:rsidP="001428E2">
      <w:pPr>
        <w:jc w:val="center"/>
        <w:rPr>
          <w:b/>
          <w:bCs/>
          <w:sz w:val="28"/>
          <w:szCs w:val="28"/>
        </w:rPr>
      </w:pPr>
      <w:r w:rsidRPr="001428E2">
        <w:rPr>
          <w:b/>
          <w:bCs/>
          <w:sz w:val="28"/>
          <w:szCs w:val="28"/>
        </w:rPr>
        <w:t>Cadrul legislativ din spatele accesibilității în UE</w:t>
      </w:r>
    </w:p>
    <w:p w14:paraId="0D12D137" w14:textId="77777777" w:rsidR="001428E2" w:rsidRPr="001428E2" w:rsidRDefault="001428E2" w:rsidP="001428E2">
      <w:pPr>
        <w:jc w:val="center"/>
        <w:rPr>
          <w:b/>
          <w:bCs/>
          <w:sz w:val="28"/>
          <w:szCs w:val="28"/>
        </w:rPr>
      </w:pPr>
      <w:r w:rsidRPr="001428E2">
        <w:rPr>
          <w:b/>
          <w:bCs/>
          <w:sz w:val="28"/>
          <w:szCs w:val="28"/>
        </w:rPr>
        <w:t>Pasul „Construirea fundației” în abordarea educațională</w:t>
      </w:r>
    </w:p>
    <w:p w14:paraId="6C027CA2" w14:textId="25C69257" w:rsidR="00FA7ACF" w:rsidRDefault="001428E2" w:rsidP="001428E2">
      <w:pPr>
        <w:jc w:val="center"/>
        <w:rPr>
          <w:b/>
          <w:bCs/>
          <w:sz w:val="28"/>
          <w:szCs w:val="28"/>
        </w:rPr>
      </w:pPr>
      <w:r w:rsidRPr="001428E2">
        <w:rPr>
          <w:b/>
          <w:bCs/>
          <w:sz w:val="28"/>
          <w:szCs w:val="28"/>
        </w:rPr>
        <w:t>Relevant pentru toate tipurile de handicap</w:t>
      </w:r>
    </w:p>
    <w:p w14:paraId="49D503B3" w14:textId="0BFBCA77" w:rsidR="001428E2" w:rsidRDefault="001428E2" w:rsidP="001428E2">
      <w:pPr>
        <w:rPr>
          <w:b/>
          <w:bCs/>
          <w:sz w:val="28"/>
          <w:szCs w:val="28"/>
        </w:rPr>
      </w:pPr>
    </w:p>
    <w:p w14:paraId="5D34867F" w14:textId="77777777" w:rsidR="001428E2" w:rsidRDefault="001428E2" w:rsidP="008F2A31">
      <w:pPr>
        <w:jc w:val="both"/>
      </w:pPr>
      <w:r>
        <w:t>Accesibilitatea la mediul construit, la informații și comunicare (în special tehnologia informației și comunicațiilor - TIC) și la transport este cerută de articolul 9 al Convenției Națiunilor Unite privind drepturile persoanelor cu dizabilități.</w:t>
      </w:r>
    </w:p>
    <w:p w14:paraId="4318AB06" w14:textId="77777777" w:rsidR="001428E2" w:rsidRDefault="001428E2" w:rsidP="008F2A31">
      <w:pPr>
        <w:jc w:val="both"/>
      </w:pPr>
    </w:p>
    <w:p w14:paraId="753A7CB0" w14:textId="06ADDCC4" w:rsidR="001428E2" w:rsidRDefault="001428E2" w:rsidP="008F2A31">
      <w:pPr>
        <w:jc w:val="both"/>
      </w:pPr>
      <w:r>
        <w:t>Potrivit menționatului Articol 9 - Accesibilitate:</w:t>
      </w:r>
    </w:p>
    <w:p w14:paraId="0E5F2416" w14:textId="716D3C43" w:rsidR="001428E2" w:rsidRDefault="001428E2" w:rsidP="008F2A31">
      <w:pPr>
        <w:pStyle w:val="ListParagraph"/>
        <w:numPr>
          <w:ilvl w:val="0"/>
          <w:numId w:val="2"/>
        </w:numPr>
        <w:jc w:val="both"/>
      </w:pPr>
      <w:r>
        <w:t>Pentru a permite persoanelor cu dizabilități să trăiască independent și să participe pe deplin în toate aspectele vieții, Statele Părți trebuie să ia măsuri adecvate pentru a asigura persoanelor cu dizabilități acces, în condiții de egalitate cu ceilalți, la mediul fizic, la transport, la informații și comunicare, inclusiv la tehnologiile și sistemele de informații și comunicare, și la alte facilități și servicii deschise sau furnizate publicului, atât în zone urbane, cât și în zone rurale. Aceste măsuri, care trebuie să includă identificarea și eliminarea obstacolelor și barierelor în calea accesibilității, se aplică, printre altele:</w:t>
      </w:r>
    </w:p>
    <w:p w14:paraId="319F994F" w14:textId="714A4EF4" w:rsidR="001428E2" w:rsidRDefault="001428E2" w:rsidP="008F2A31">
      <w:pPr>
        <w:pStyle w:val="ListParagraph"/>
        <w:numPr>
          <w:ilvl w:val="0"/>
          <w:numId w:val="3"/>
        </w:numPr>
        <w:jc w:val="both"/>
      </w:pPr>
      <w:r>
        <w:t>Clădiri, drumuri, transport și alte facilități interioare și exterioare, inclusiv școli, locuințe, unități medicale și locuri de muncă;</w:t>
      </w:r>
    </w:p>
    <w:p w14:paraId="52C94C6E" w14:textId="3B757C83" w:rsidR="001428E2" w:rsidRDefault="001428E2" w:rsidP="008F2A31">
      <w:pPr>
        <w:pStyle w:val="ListParagraph"/>
        <w:numPr>
          <w:ilvl w:val="0"/>
          <w:numId w:val="3"/>
        </w:numPr>
        <w:jc w:val="both"/>
      </w:pPr>
      <w:r>
        <w:t>Informații, comunicări și alte servicii, inclusiv serviciile electronice și serviciile de urgență.</w:t>
      </w:r>
    </w:p>
    <w:p w14:paraId="0F8604E9" w14:textId="77777777" w:rsidR="001428E2" w:rsidRDefault="001428E2" w:rsidP="008F2A31">
      <w:pPr>
        <w:jc w:val="both"/>
      </w:pPr>
    </w:p>
    <w:p w14:paraId="2A9A39F4" w14:textId="4375C748" w:rsidR="001428E2" w:rsidRDefault="001428E2" w:rsidP="008F2A31">
      <w:pPr>
        <w:pStyle w:val="ListParagraph"/>
        <w:numPr>
          <w:ilvl w:val="0"/>
          <w:numId w:val="2"/>
        </w:numPr>
        <w:jc w:val="both"/>
      </w:pPr>
      <w:r>
        <w:t>Statele Părți trebuie, de asemenea, să ia măsuri adecvate:</w:t>
      </w:r>
    </w:p>
    <w:p w14:paraId="234EB928" w14:textId="5B647004" w:rsidR="001428E2" w:rsidRDefault="001428E2" w:rsidP="008F2A31">
      <w:pPr>
        <w:pStyle w:val="ListParagraph"/>
        <w:numPr>
          <w:ilvl w:val="0"/>
          <w:numId w:val="5"/>
        </w:numPr>
        <w:jc w:val="both"/>
      </w:pPr>
      <w:r>
        <w:t>Pentru a dezvolta, promulga și monitoriza implementarea standardelor minime și a ghidurilor pentru accesibilitatea facilităților și serviciilor deschise sau furnizate publicului;</w:t>
      </w:r>
    </w:p>
    <w:p w14:paraId="19905C65" w14:textId="0BE065FA" w:rsidR="001428E2" w:rsidRDefault="001428E2" w:rsidP="008F2A31">
      <w:pPr>
        <w:pStyle w:val="ListParagraph"/>
        <w:numPr>
          <w:ilvl w:val="0"/>
          <w:numId w:val="5"/>
        </w:numPr>
        <w:jc w:val="both"/>
      </w:pPr>
      <w:r>
        <w:t>Pentru a se asigura că entitățile private care oferă facilități și servicii deschise sau furnizate publicului iau în considerare toate aspectele accesibilității pentru persoanele cu dizabilități;</w:t>
      </w:r>
    </w:p>
    <w:p w14:paraId="63B35533" w14:textId="105E70FB" w:rsidR="001428E2" w:rsidRDefault="001428E2" w:rsidP="008F2A31">
      <w:pPr>
        <w:pStyle w:val="ListParagraph"/>
        <w:numPr>
          <w:ilvl w:val="0"/>
          <w:numId w:val="5"/>
        </w:numPr>
        <w:jc w:val="both"/>
      </w:pPr>
      <w:r>
        <w:t>Pentru a oferi formare pentru părțile interesate cu privire la problemele de accesibilitate cu care se confruntă persoanele cu dizabilități;</w:t>
      </w:r>
    </w:p>
    <w:p w14:paraId="18C33D4D" w14:textId="6B9D6DA1" w:rsidR="001428E2" w:rsidRDefault="001428E2" w:rsidP="008F2A31">
      <w:pPr>
        <w:pStyle w:val="ListParagraph"/>
        <w:numPr>
          <w:ilvl w:val="0"/>
          <w:numId w:val="5"/>
        </w:numPr>
        <w:jc w:val="both"/>
      </w:pPr>
      <w:r>
        <w:t>Pentru a furniza în clădiri și alte facilități deschise publicului semnalizare în Braille și în forme ușor de citit și de înțeles;</w:t>
      </w:r>
    </w:p>
    <w:p w14:paraId="25568F8E" w14:textId="19783EA2" w:rsidR="001428E2" w:rsidRDefault="001428E2" w:rsidP="008F2A31">
      <w:pPr>
        <w:pStyle w:val="ListParagraph"/>
        <w:numPr>
          <w:ilvl w:val="0"/>
          <w:numId w:val="5"/>
        </w:numPr>
        <w:jc w:val="both"/>
      </w:pPr>
      <w:r>
        <w:t>Pentru a furniza forme de asistență în timp real și intermediari, inclusiv ghizi, cititori și interpreți profesioniști de limbaj semnelor, pentru a facilita accesibilitatea la clădiri și alte facilități deschise publicului;</w:t>
      </w:r>
    </w:p>
    <w:p w14:paraId="6BCDE680" w14:textId="3F5E7CF4" w:rsidR="001428E2" w:rsidRDefault="001428E2" w:rsidP="008F2A31">
      <w:pPr>
        <w:pStyle w:val="ListParagraph"/>
        <w:numPr>
          <w:ilvl w:val="0"/>
          <w:numId w:val="5"/>
        </w:numPr>
        <w:jc w:val="both"/>
      </w:pPr>
      <w:r>
        <w:t>Pentru a promova alte forme adecvate de asistență și sprijin pentru persoanele cu dizabilități pentru a le asigura accesul la informații;</w:t>
      </w:r>
    </w:p>
    <w:p w14:paraId="79784CEF" w14:textId="701865AA" w:rsidR="001428E2" w:rsidRDefault="001428E2" w:rsidP="008F2A31">
      <w:pPr>
        <w:pStyle w:val="ListParagraph"/>
        <w:numPr>
          <w:ilvl w:val="0"/>
          <w:numId w:val="5"/>
        </w:numPr>
        <w:jc w:val="both"/>
      </w:pPr>
      <w:r>
        <w:t>Pentru a promova accesul persoanelor cu dizabilități la noile tehnologii și sisteme de informații și comunicare, inclusiv la Internet;</w:t>
      </w:r>
    </w:p>
    <w:p w14:paraId="5592E1F0" w14:textId="37BE6682" w:rsidR="001428E2" w:rsidRDefault="001428E2" w:rsidP="008F2A31">
      <w:pPr>
        <w:pStyle w:val="ListParagraph"/>
        <w:numPr>
          <w:ilvl w:val="0"/>
          <w:numId w:val="5"/>
        </w:numPr>
        <w:jc w:val="both"/>
      </w:pPr>
      <w:r>
        <w:lastRenderedPageBreak/>
        <w:t>Pentru a promova proiectarea, dezvoltarea, producția și distribuția de tehnologii și sisteme de informații și comunicare accesibile la un stadiu incipient, astfel încât aceste tehnologii și sisteme să devină accesibile la un cost minim."</w:t>
      </w:r>
    </w:p>
    <w:p w14:paraId="5D5EE017" w14:textId="1BC7C9B8" w:rsidR="001428E2" w:rsidRDefault="001428E2" w:rsidP="008F2A31">
      <w:pPr>
        <w:jc w:val="both"/>
      </w:pPr>
    </w:p>
    <w:p w14:paraId="181BD76C" w14:textId="77777777" w:rsidR="001428E2" w:rsidRDefault="001428E2" w:rsidP="008F2A31">
      <w:pPr>
        <w:jc w:val="both"/>
      </w:pPr>
      <w:r>
        <w:t>Standardele de accesibilitate, împărtășite în cadrul Uniunii Europene, contribuie la eliminarea barierelor pentru persoanele cu dizabilități, precum și pentru alte categorii (de exemplu, persoanele în vârstă, persoanele cu dizabilități temporare ca urmare a unui accident, femeile însărcinate, mamele cu cărucioare și altele). Mai multe standarde au fost deja dezvoltate, iar altele sunt încă în curs de finalizare. De exemplu, Uniunea Europeană a comandat Mandatul 420 referitor la cerințele europene de accesibilitate pentru achiziții publice în mediul construit (Mandatul 420 sau M/420), care trebuie să includă cerințele pentru un design pentru toți și să stabilească standardul pentru acesta.</w:t>
      </w:r>
    </w:p>
    <w:p w14:paraId="7F23FD7B" w14:textId="77777777" w:rsidR="001428E2" w:rsidRDefault="001428E2" w:rsidP="008F2A31">
      <w:pPr>
        <w:jc w:val="both"/>
      </w:pPr>
    </w:p>
    <w:p w14:paraId="22C0612E" w14:textId="77777777" w:rsidR="001428E2" w:rsidRDefault="001428E2" w:rsidP="008F2A31">
      <w:pPr>
        <w:jc w:val="both"/>
      </w:pPr>
      <w:r>
        <w:t>Cele 7 principii ale designului pentru toți, dintre care unele se aplică și accesibilității la informații și la tehnologia informației și comunicației (TIC), sunt:</w:t>
      </w:r>
    </w:p>
    <w:p w14:paraId="495CE12D" w14:textId="77777777" w:rsidR="001428E2" w:rsidRDefault="001428E2" w:rsidP="008F2A31">
      <w:pPr>
        <w:jc w:val="both"/>
      </w:pPr>
    </w:p>
    <w:p w14:paraId="63EE8E11" w14:textId="09A819E3" w:rsidR="001428E2" w:rsidRDefault="001428E2" w:rsidP="008F2A31">
      <w:pPr>
        <w:pStyle w:val="ListParagraph"/>
        <w:numPr>
          <w:ilvl w:val="1"/>
          <w:numId w:val="3"/>
        </w:numPr>
        <w:jc w:val="both"/>
      </w:pPr>
      <w:r>
        <w:t>Utilizare echitabilă. Designul este util și comercializabil pentru persoanele cu diverse abilități.</w:t>
      </w:r>
    </w:p>
    <w:p w14:paraId="416B45ED" w14:textId="37A28A3E" w:rsidR="001428E2" w:rsidRDefault="001428E2" w:rsidP="008F2A31">
      <w:pPr>
        <w:pStyle w:val="ListParagraph"/>
        <w:numPr>
          <w:ilvl w:val="1"/>
          <w:numId w:val="3"/>
        </w:numPr>
        <w:jc w:val="both"/>
      </w:pPr>
      <w:r>
        <w:t>Flexibilitate în utilizare. Designul se adaptează unei game largi de preferințe și abilități individuale.</w:t>
      </w:r>
    </w:p>
    <w:p w14:paraId="3202F2A6" w14:textId="2F79B006" w:rsidR="001428E2" w:rsidRDefault="001428E2" w:rsidP="008F2A31">
      <w:pPr>
        <w:pStyle w:val="ListParagraph"/>
        <w:numPr>
          <w:ilvl w:val="1"/>
          <w:numId w:val="3"/>
        </w:numPr>
        <w:jc w:val="both"/>
      </w:pPr>
      <w:r>
        <w:t>Utilizare simplă și intuitivă. Utilizarea designului este ușor de înțeles, indiferent de experiența, cunoștințele, abilitățile lingvistice sau nivelul actual de concentrare al utilizatorului.</w:t>
      </w:r>
    </w:p>
    <w:p w14:paraId="0D0CF745" w14:textId="23841320" w:rsidR="001428E2" w:rsidRDefault="001428E2" w:rsidP="008F2A31">
      <w:pPr>
        <w:pStyle w:val="ListParagraph"/>
        <w:numPr>
          <w:ilvl w:val="1"/>
          <w:numId w:val="3"/>
        </w:numPr>
        <w:jc w:val="both"/>
      </w:pPr>
      <w:r>
        <w:t>Informații perceptibile. Designul comunica informații necesare eficient utilizatorului, indiferent de condițiile ambiantelor sau de abilitățile senzoriale ale utilizatorului.</w:t>
      </w:r>
    </w:p>
    <w:p w14:paraId="76AAEC81" w14:textId="1ED74A18" w:rsidR="001428E2" w:rsidRDefault="001428E2" w:rsidP="008F2A31">
      <w:pPr>
        <w:pStyle w:val="ListParagraph"/>
        <w:numPr>
          <w:ilvl w:val="1"/>
          <w:numId w:val="3"/>
        </w:numPr>
        <w:jc w:val="both"/>
      </w:pPr>
      <w:r>
        <w:t>Toleranță la eroare. Designul minimizează riscurile și consecințele adverse ale acțiunilor accidentale sau nedorite.</w:t>
      </w:r>
    </w:p>
    <w:p w14:paraId="3134FDDC" w14:textId="2F8F3CB8" w:rsidR="001428E2" w:rsidRDefault="001428E2" w:rsidP="008F2A31">
      <w:pPr>
        <w:pStyle w:val="ListParagraph"/>
        <w:numPr>
          <w:ilvl w:val="1"/>
          <w:numId w:val="3"/>
        </w:numPr>
        <w:jc w:val="both"/>
      </w:pPr>
      <w:r>
        <w:t>Efort fizic redus. Designul poate fi utilizat eficient și confortabil, cu un efort fizic minim.</w:t>
      </w:r>
    </w:p>
    <w:p w14:paraId="19F5871B" w14:textId="14DE8D13" w:rsidR="001428E2" w:rsidRDefault="001428E2" w:rsidP="008F2A31">
      <w:pPr>
        <w:pStyle w:val="ListParagraph"/>
        <w:numPr>
          <w:ilvl w:val="1"/>
          <w:numId w:val="3"/>
        </w:numPr>
        <w:jc w:val="both"/>
      </w:pPr>
      <w:r>
        <w:t>Dimensiuni și spațiu pentru abordare și utilizare. Se furnizează dimensiuni și spațiu adecvat pentru abordare, atingere, manipulare și utilizare, indiferent de dimensiunea corpului utilizatorului, poziția sau mobilitatea acestuia.</w:t>
      </w:r>
    </w:p>
    <w:p w14:paraId="09ACBC45" w14:textId="6D2D663A" w:rsidR="001428E2" w:rsidRDefault="001428E2" w:rsidP="008F2A31">
      <w:pPr>
        <w:jc w:val="both"/>
      </w:pPr>
      <w:r>
        <w:t xml:space="preserve">Accesibilitatea TIC (tehnologiilor informației și comunicațiilor) este prezentată în detaliu aici: </w:t>
      </w:r>
      <w:hyperlink r:id="rId5" w:history="1">
        <w:r w:rsidR="000A5130" w:rsidRPr="00E91422">
          <w:rPr>
            <w:rStyle w:val="Hyperlink"/>
          </w:rPr>
          <w:t>https://joinup.ec.europa.eu/collection/rolling-plan-ictstandardisation/accessibility-ict-products-and-services-0</w:t>
        </w:r>
      </w:hyperlink>
      <w:r w:rsidR="000A5130">
        <w:t xml:space="preserve"> </w:t>
      </w:r>
      <w:r>
        <w:t>. Acest site furnizează informații despre politica și legislația privind accesibilitatea, începând de la obiectivele politicii, relevanța față de Convenția ONU, Articolul 9 și perspectiva Comisiei Europene în acest sens, precum și o listă completă de referințe care duc la:</w:t>
      </w:r>
    </w:p>
    <w:p w14:paraId="42BF545F" w14:textId="327BA287" w:rsidR="001428E2" w:rsidRDefault="001428E2" w:rsidP="008F2A31">
      <w:pPr>
        <w:pStyle w:val="ListParagraph"/>
        <w:numPr>
          <w:ilvl w:val="2"/>
          <w:numId w:val="3"/>
        </w:numPr>
        <w:jc w:val="both"/>
      </w:pPr>
      <w:r>
        <w:t>Directiva (UE) 2016/2102 a Parlamentului European și a Consiliului din 26 octombrie 2016 privind accesibilitatea site-urilor web și a aplicațiilor mobile ale organismelor din sectorul public. Directiva privind accesibilitatea web.</w:t>
      </w:r>
    </w:p>
    <w:p w14:paraId="411487EB" w14:textId="0B4EA1FA" w:rsidR="001428E2" w:rsidRDefault="001428E2" w:rsidP="008F2A31">
      <w:pPr>
        <w:pStyle w:val="ListParagraph"/>
        <w:numPr>
          <w:ilvl w:val="2"/>
          <w:numId w:val="3"/>
        </w:numPr>
        <w:jc w:val="both"/>
      </w:pPr>
      <w:r>
        <w:lastRenderedPageBreak/>
        <w:t>Directiva (UE) 2019/882 a Parlamentului European și a Consiliului din 17 aprilie 2019 privind cerințele de accesibilitate pentru produse și servicii. Legea europeană privind accesibilitatea.</w:t>
      </w:r>
    </w:p>
    <w:p w14:paraId="4BAF202E" w14:textId="218B3C96" w:rsidR="001428E2" w:rsidRDefault="001428E2" w:rsidP="008F2A31">
      <w:pPr>
        <w:pStyle w:val="ListParagraph"/>
        <w:numPr>
          <w:ilvl w:val="2"/>
          <w:numId w:val="3"/>
        </w:numPr>
        <w:jc w:val="both"/>
      </w:pPr>
      <w:r>
        <w:t>Convenția ONU privind drepturile persoanelor cu dizabilități (UN CRPD).</w:t>
      </w:r>
    </w:p>
    <w:p w14:paraId="18726E70" w14:textId="699461A8" w:rsidR="001428E2" w:rsidRDefault="001428E2" w:rsidP="008F2A31">
      <w:pPr>
        <w:pStyle w:val="ListParagraph"/>
        <w:numPr>
          <w:ilvl w:val="2"/>
          <w:numId w:val="3"/>
        </w:numPr>
        <w:jc w:val="both"/>
      </w:pPr>
      <w:r>
        <w:t>Directiva (UE) 2018/1808 a Parlamentului European și a Consiliului din 14 noiembrie 2018 de modificare a Directivei 2010/13/UE privind coordonarea anumitor dispoziții prevăzute de lege, reglementare sau măsuri administrative în statele membre cu privire la furnizarea serviciilor media audiovizuale (Directiva privind serviciile media audiovizuale) în vederea adaptării la realitățile pieței în schimbare.</w:t>
      </w:r>
    </w:p>
    <w:p w14:paraId="79037D79" w14:textId="7FD764A6" w:rsidR="001428E2" w:rsidRDefault="001428E2" w:rsidP="008F2A31">
      <w:pPr>
        <w:pStyle w:val="ListParagraph"/>
        <w:numPr>
          <w:ilvl w:val="2"/>
          <w:numId w:val="3"/>
        </w:numPr>
        <w:jc w:val="both"/>
      </w:pPr>
      <w:r>
        <w:t>Directiva (UE) 2018/1972 a Parlamentului European și a Consiliului din 11 decembrie 2018 privind stabilirea Codului European al Comunicațiilor Electronice (refacere), care se bazează pe Declarațiile din Tallinn și Berlin și face referire la WAD și EAA ca referințe și pentru implementare.</w:t>
      </w:r>
    </w:p>
    <w:p w14:paraId="15F19368" w14:textId="70970411" w:rsidR="001428E2" w:rsidRDefault="001428E2" w:rsidP="008F2A31">
      <w:pPr>
        <w:pStyle w:val="ListParagraph"/>
        <w:numPr>
          <w:ilvl w:val="2"/>
          <w:numId w:val="3"/>
        </w:numPr>
        <w:jc w:val="both"/>
      </w:pPr>
      <w:r>
        <w:t xml:space="preserve">Propunerea pentru un REGULAMENT AL PARLAMENTULUI EUROPEAN ȘI A CONSILIULUI privind </w:t>
      </w:r>
      <w:proofErr w:type="spellStart"/>
      <w:r>
        <w:t>roamingul</w:t>
      </w:r>
      <w:proofErr w:type="spellEnd"/>
      <w:r>
        <w:t xml:space="preserve"> pe rețelele publice de comunicații mobile din Uniune (refacere), care evidențiază obiectivul de susținere al Directivei (UE) 2018/1972 pentru a asigura că accesul persoanelor cu dizabilități la serviciile de urgență este disponibil prin intermediul comunicațiilor de urgență și este echivalent cu cel de care se bucură și alți utilizatori finali.</w:t>
      </w:r>
    </w:p>
    <w:p w14:paraId="6FB0A76A" w14:textId="6B25F6A5" w:rsidR="001428E2" w:rsidRDefault="001428E2" w:rsidP="008F2A31">
      <w:pPr>
        <w:pStyle w:val="ListParagraph"/>
        <w:numPr>
          <w:ilvl w:val="2"/>
          <w:numId w:val="3"/>
        </w:numPr>
        <w:jc w:val="both"/>
      </w:pPr>
      <w:r>
        <w:t>Planul de acțiune pentru educație digitală (2021-2027) este o inițiativă politică a Uniunii Europene (UE) pentru a susține adaptarea sustenabilă și eficientă a sistemelor de educație și formare ale statelor membre ale UE la era digitală. Accentul se pune pe educația digitală accesibilă și incluzivă pentru toți, inclusiv pentru învățătorii cu dizabilități.</w:t>
      </w:r>
    </w:p>
    <w:p w14:paraId="671374E8" w14:textId="66347E59" w:rsidR="001428E2" w:rsidRDefault="001428E2" w:rsidP="008F2A31">
      <w:pPr>
        <w:pStyle w:val="ListParagraph"/>
        <w:numPr>
          <w:ilvl w:val="2"/>
          <w:numId w:val="3"/>
        </w:numPr>
        <w:jc w:val="both"/>
      </w:pPr>
      <w:r>
        <w:t>Strategia Comisiei pentru Drepturile Persoanelor cu Dizabilități 2021-2030</w:t>
      </w:r>
    </w:p>
    <w:p w14:paraId="7078DB98" w14:textId="77777777" w:rsidR="001428E2" w:rsidRDefault="001428E2" w:rsidP="008F2A31">
      <w:pPr>
        <w:jc w:val="both"/>
      </w:pPr>
    </w:p>
    <w:p w14:paraId="1FDDDA9E" w14:textId="02F4C0D5" w:rsidR="008F2A31" w:rsidRDefault="001428E2" w:rsidP="008F2A31">
      <w:pPr>
        <w:jc w:val="both"/>
      </w:pPr>
      <w:r>
        <w:t>Pagina oferă, de asemenea, o listă completă de standarde privind accesibilitatea site-urilor web și a aplicațiilor mobile ale organismelor din sectorul public, împreună cu o prezentare a organizațiilor de standardizare responsabile.</w:t>
      </w:r>
    </w:p>
    <w:p w14:paraId="2DF80EEA" w14:textId="7810F989" w:rsidR="008F2A31" w:rsidRDefault="008F2A31" w:rsidP="008F2A31">
      <w:pPr>
        <w:jc w:val="both"/>
      </w:pPr>
      <w:r>
        <w:t>În ceea ce privește câinii de asistență, standardul relevant este CEN/TC 452, care oferă o definiție explicită a ceea ce este un câine de asistență și care câini pot fi considerați astfel. Conform standardului:</w:t>
      </w:r>
    </w:p>
    <w:p w14:paraId="438D0076" w14:textId="3E41F22F" w:rsidR="008F2A31" w:rsidRDefault="008F2A31" w:rsidP="008F2A31">
      <w:pPr>
        <w:jc w:val="both"/>
      </w:pPr>
      <w:r>
        <w:t>"Câinii de asistență sunt câini special antrenați pentru a îndeplini sarcini menite să atenueze limitele unei persoane cu dizabilități."</w:t>
      </w:r>
    </w:p>
    <w:p w14:paraId="21A2A83A" w14:textId="2AE6ECA3" w:rsidR="008F2A31" w:rsidRDefault="008F2A31" w:rsidP="008F2A31">
      <w:pPr>
        <w:jc w:val="both"/>
      </w:pPr>
      <w:r>
        <w:t>În această definiție sunt incluși:</w:t>
      </w:r>
    </w:p>
    <w:p w14:paraId="781C8771" w14:textId="25D1AD55" w:rsidR="008F2A31" w:rsidRDefault="008F2A31" w:rsidP="008F2A31">
      <w:pPr>
        <w:pStyle w:val="ListParagraph"/>
        <w:numPr>
          <w:ilvl w:val="1"/>
          <w:numId w:val="2"/>
        </w:numPr>
        <w:jc w:val="both"/>
      </w:pPr>
      <w:r>
        <w:t>Câinii de asistență pentru autism</w:t>
      </w:r>
    </w:p>
    <w:p w14:paraId="7984FA1A" w14:textId="061EB37F" w:rsidR="008F2A31" w:rsidRDefault="008F2A31" w:rsidP="008F2A31">
      <w:pPr>
        <w:pStyle w:val="ListParagraph"/>
        <w:numPr>
          <w:ilvl w:val="1"/>
          <w:numId w:val="2"/>
        </w:numPr>
        <w:jc w:val="both"/>
      </w:pPr>
      <w:r>
        <w:t>Câinii ghizi</w:t>
      </w:r>
    </w:p>
    <w:p w14:paraId="7D7BA19E" w14:textId="67CE94BD" w:rsidR="008F2A31" w:rsidRDefault="008F2A31" w:rsidP="008F2A31">
      <w:pPr>
        <w:pStyle w:val="ListParagraph"/>
        <w:numPr>
          <w:ilvl w:val="1"/>
          <w:numId w:val="2"/>
        </w:numPr>
        <w:jc w:val="both"/>
      </w:pPr>
      <w:r>
        <w:t>Câinii de semnalizare auditivă</w:t>
      </w:r>
    </w:p>
    <w:p w14:paraId="0AF41314" w14:textId="326EF7E8" w:rsidR="008F2A31" w:rsidRDefault="008F2A31" w:rsidP="008F2A31">
      <w:pPr>
        <w:pStyle w:val="ListParagraph"/>
        <w:numPr>
          <w:ilvl w:val="1"/>
          <w:numId w:val="2"/>
        </w:numPr>
        <w:jc w:val="both"/>
      </w:pPr>
      <w:r>
        <w:t>Câinii de asistență pentru avertizări medicale</w:t>
      </w:r>
    </w:p>
    <w:p w14:paraId="508C904D" w14:textId="6AB06F39" w:rsidR="008F2A31" w:rsidRDefault="008F2A31" w:rsidP="008F2A31">
      <w:pPr>
        <w:pStyle w:val="ListParagraph"/>
        <w:numPr>
          <w:ilvl w:val="1"/>
          <w:numId w:val="2"/>
        </w:numPr>
        <w:jc w:val="both"/>
      </w:pPr>
      <w:r>
        <w:t>Câinii de asistență pentru mobilitate</w:t>
      </w:r>
    </w:p>
    <w:p w14:paraId="3B88AFFE" w14:textId="43E6FB76" w:rsidR="008F2A31" w:rsidRDefault="008F2A31" w:rsidP="008F2A31">
      <w:pPr>
        <w:pStyle w:val="ListParagraph"/>
        <w:numPr>
          <w:ilvl w:val="1"/>
          <w:numId w:val="2"/>
        </w:numPr>
        <w:jc w:val="both"/>
      </w:pPr>
      <w:r>
        <w:t>Câinii de asistență pentru PTSD (tulburare de stres posttraumatic)</w:t>
      </w:r>
    </w:p>
    <w:p w14:paraId="05D46AD5" w14:textId="77777777" w:rsidR="008F2A31" w:rsidRDefault="008F2A31" w:rsidP="008F2A31">
      <w:pPr>
        <w:jc w:val="both"/>
      </w:pPr>
    </w:p>
    <w:p w14:paraId="411332C3" w14:textId="77777777" w:rsidR="008F2A31" w:rsidRDefault="008F2A31" w:rsidP="008F2A31">
      <w:pPr>
        <w:jc w:val="both"/>
      </w:pPr>
      <w:r>
        <w:t xml:space="preserve">Conceptul de Design Universal (DU) a fost introdus în a doua jumătate a secolului al XX-lea de arhitectul Ronald </w:t>
      </w:r>
      <w:proofErr w:type="spellStart"/>
      <w:r>
        <w:t>Mace</w:t>
      </w:r>
      <w:proofErr w:type="spellEnd"/>
      <w:r>
        <w:t xml:space="preserve"> - utilizator de scaun cu rotile, luptând pentru drepturile persoanelor cu dizabilități într-o perioadă în care acestea nu erau încă considerate normale și/sau demne de adaptări pentru a avea acces egal cu toți ceilalți. În aplicația sa originală, DU a fost descris ca "designul produselor și mediilor pentru a fi utilizate de toate persoanele, în cea mai mare măsură posibilă, fără a fi nevoie de adaptare sau design specializat" (</w:t>
      </w:r>
      <w:proofErr w:type="spellStart"/>
      <w:r>
        <w:t>Connell</w:t>
      </w:r>
      <w:proofErr w:type="spellEnd"/>
      <w:r>
        <w:t xml:space="preserve"> et al., 1997). La fel cum scările sau ușile rotative reprezintă obstacole în mediul construit, există obstacole pentru învățare sau accesarea informațiilor. Acest lucru înseamnă că avem nevoie de o abordare "Design for </w:t>
      </w:r>
      <w:proofErr w:type="spellStart"/>
      <w:r>
        <w:t>All</w:t>
      </w:r>
      <w:proofErr w:type="spellEnd"/>
      <w:r>
        <w:t xml:space="preserve">" care să aibă grijă de accesibilitatea atât în mediul construit, cât și în TIC și informație. Standardele europene privind accesibilitatea au fost create exact în acest scop. Standardul european EN 17161:2019 „Design for </w:t>
      </w:r>
      <w:proofErr w:type="spellStart"/>
      <w:r>
        <w:t>All</w:t>
      </w:r>
      <w:proofErr w:type="spellEnd"/>
      <w:r>
        <w:t xml:space="preserve"> - Accesibilitatea în conformitate cu abordarea Design for </w:t>
      </w:r>
      <w:proofErr w:type="spellStart"/>
      <w:r>
        <w:t>All</w:t>
      </w:r>
      <w:proofErr w:type="spellEnd"/>
      <w:r>
        <w:t xml:space="preserve"> în produse, bunuri și servicii - Extinderea categoriei de utilizatori” este deosebit de important, deoarece specifică cerințe care pot permite organizațiilor să proiecteze, dezvolte și furnizeze produse, bunuri și servicii accesibile pentru o gamă largă de utilizatori, inclusiv persoane cu dizabilități. Abordarea Design for </w:t>
      </w:r>
      <w:proofErr w:type="spellStart"/>
      <w:r>
        <w:t>All</w:t>
      </w:r>
      <w:proofErr w:type="spellEnd"/>
      <w:r>
        <w:t xml:space="preserve"> stabilită de acest standard poate fi utilizată atât de organizații private, cât și de cele publice.</w:t>
      </w:r>
    </w:p>
    <w:p w14:paraId="188F4453" w14:textId="77777777" w:rsidR="008F2A31" w:rsidRDefault="008F2A31" w:rsidP="008F2A31">
      <w:pPr>
        <w:jc w:val="both"/>
      </w:pPr>
    </w:p>
    <w:p w14:paraId="4B3CE3B1" w14:textId="1E47286F" w:rsidR="008F2A31" w:rsidRDefault="008F2A31" w:rsidP="008F2A31">
      <w:pPr>
        <w:jc w:val="both"/>
      </w:pPr>
      <w:r>
        <w:t xml:space="preserve">De asemenea, acesta poate fi util pentru organizații să se conformeze cu Actul European privind Accesibilitatea recent adoptat - </w:t>
      </w:r>
      <w:hyperlink r:id="rId6" w:history="1">
        <w:r w:rsidRPr="00E91422">
          <w:rPr>
            <w:rStyle w:val="Hyperlink"/>
          </w:rPr>
          <w:t>https://eur-lex.europa.eu/legalcontent/EN/TXT/?uri=CELEX%3A32019L0882</w:t>
        </w:r>
      </w:hyperlink>
      <w:r>
        <w:t xml:space="preserve"> </w:t>
      </w:r>
      <w:r>
        <w:t xml:space="preserve"> și să fie considerat de autoritățile publice drept un criteriu de selecție pentru achizițiile publice. Acest lucru înseamnă că mai multe companii care furnizează bunuri și servicii vor fi încurajate să adopte o abordare Design for </w:t>
      </w:r>
      <w:proofErr w:type="spellStart"/>
      <w:r>
        <w:t>All</w:t>
      </w:r>
      <w:proofErr w:type="spellEnd"/>
      <w:r>
        <w:t>, ceea ce, în final, va beneficia consumatorilor și utilizatorilor cu dizabilități.</w:t>
      </w:r>
    </w:p>
    <w:p w14:paraId="79F7D856" w14:textId="77777777" w:rsidR="008F2A31" w:rsidRDefault="008F2A31" w:rsidP="008F2A31">
      <w:pPr>
        <w:jc w:val="both"/>
      </w:pPr>
    </w:p>
    <w:p w14:paraId="34334FAF" w14:textId="08DE41D5" w:rsidR="008F2A31" w:rsidRDefault="008F2A31" w:rsidP="008F2A31">
      <w:pPr>
        <w:jc w:val="both"/>
      </w:pPr>
      <w:r>
        <w:t xml:space="preserve">O descriere excelentă și detaliată a drepturilor persoanelor cu dizabilități este furnizată pe site-ul Forumului European al Dizabilităților: </w:t>
      </w:r>
      <w:hyperlink r:id="rId7" w:history="1">
        <w:r w:rsidR="000A5130" w:rsidRPr="00E91422">
          <w:rPr>
            <w:rStyle w:val="Hyperlink"/>
          </w:rPr>
          <w:t>https://www.edffeph.org/your-rights-in-the-eu/</w:t>
        </w:r>
      </w:hyperlink>
      <w:r w:rsidR="000A5130">
        <w:t xml:space="preserve"> </w:t>
      </w:r>
      <w:r>
        <w:t>. Printre acestea se numără: accesibilitatea serviciilor publice și private, drepturile electorale, drepturile la ocupare și tratament egal, drepturile la servicii de sănătate (în țara de origine și în străinătate în cadrul UE), drepturile la educație, stagii și voluntariat, drepturile pasagerilor și ale consumatorilor (în special în altă țară UE), beneficiile securității sociale și altele.</w:t>
      </w:r>
    </w:p>
    <w:p w14:paraId="2F84AA8B" w14:textId="77777777" w:rsidR="008F2A31" w:rsidRDefault="008F2A31" w:rsidP="008F2A31">
      <w:pPr>
        <w:jc w:val="both"/>
      </w:pPr>
    </w:p>
    <w:p w14:paraId="0F8F524B" w14:textId="77777777" w:rsidR="008F2A31" w:rsidRDefault="008F2A31" w:rsidP="008F2A31">
      <w:pPr>
        <w:jc w:val="both"/>
      </w:pPr>
      <w:r>
        <w:t>Bibliografie:</w:t>
      </w:r>
    </w:p>
    <w:p w14:paraId="26B94E72" w14:textId="77777777" w:rsidR="008F2A31" w:rsidRDefault="008F2A31" w:rsidP="008F2A31">
      <w:pPr>
        <w:jc w:val="both"/>
      </w:pPr>
      <w:proofErr w:type="spellStart"/>
      <w:r>
        <w:t>Connell</w:t>
      </w:r>
      <w:proofErr w:type="spellEnd"/>
      <w:r>
        <w:t xml:space="preserve">, B. R., Jones, M., </w:t>
      </w:r>
      <w:proofErr w:type="spellStart"/>
      <w:r>
        <w:t>Mace</w:t>
      </w:r>
      <w:proofErr w:type="spellEnd"/>
      <w:r>
        <w:t xml:space="preserve">, R., Mueller, J., </w:t>
      </w:r>
      <w:proofErr w:type="spellStart"/>
      <w:r>
        <w:t>Mullick</w:t>
      </w:r>
      <w:proofErr w:type="spellEnd"/>
      <w:r>
        <w:t xml:space="preserve">, A., </w:t>
      </w:r>
      <w:proofErr w:type="spellStart"/>
      <w:r>
        <w:t>Ostroff</w:t>
      </w:r>
      <w:proofErr w:type="spellEnd"/>
      <w:r>
        <w:t xml:space="preserve">, E., et al. (1997). Principiile designului universal. Accesat pe 24 februarie 2006, de la </w:t>
      </w:r>
    </w:p>
    <w:p w14:paraId="57F7714C" w14:textId="0123A7EB" w:rsidR="008F2A31" w:rsidRPr="001428E2" w:rsidRDefault="008F2A31" w:rsidP="008F2A31">
      <w:pPr>
        <w:jc w:val="both"/>
      </w:pPr>
      <w:hyperlink r:id="rId8" w:history="1">
        <w:r w:rsidRPr="00E91422">
          <w:rPr>
            <w:rStyle w:val="Hyperlink"/>
          </w:rPr>
          <w:t>http://design.ncsu.edu/cud/univ_design/principles/udprinciples.htm</w:t>
        </w:r>
      </w:hyperlink>
      <w:r>
        <w:t xml:space="preserve"> </w:t>
      </w:r>
    </w:p>
    <w:sectPr w:rsidR="008F2A31" w:rsidRPr="00142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24824"/>
    <w:multiLevelType w:val="hybridMultilevel"/>
    <w:tmpl w:val="831084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8254D"/>
    <w:multiLevelType w:val="hybridMultilevel"/>
    <w:tmpl w:val="87DC81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F7925"/>
    <w:multiLevelType w:val="hybridMultilevel"/>
    <w:tmpl w:val="4ACE22F8"/>
    <w:lvl w:ilvl="0" w:tplc="04090017">
      <w:start w:val="1"/>
      <w:numFmt w:val="lowerLetter"/>
      <w:lvlText w:val="%1)"/>
      <w:lvlJc w:val="left"/>
      <w:pPr>
        <w:ind w:left="720" w:hanging="360"/>
      </w:pPr>
      <w:rPr>
        <w:rFonts w:hint="default"/>
      </w:rPr>
    </w:lvl>
    <w:lvl w:ilvl="1" w:tplc="E68652DE">
      <w:start w:val="1"/>
      <w:numFmt w:val="decimal"/>
      <w:lvlText w:val="%2."/>
      <w:lvlJc w:val="left"/>
      <w:pPr>
        <w:ind w:left="1440" w:hanging="360"/>
      </w:pPr>
      <w:rPr>
        <w:rFonts w:hint="default"/>
      </w:rPr>
    </w:lvl>
    <w:lvl w:ilvl="2" w:tplc="B0DA2AD4">
      <w:start w:val="7"/>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2481E"/>
    <w:multiLevelType w:val="hybridMultilevel"/>
    <w:tmpl w:val="C31A6AD0"/>
    <w:lvl w:ilvl="0" w:tplc="B0DA2AD4">
      <w:start w:val="7"/>
      <w:numFmt w:val="bullet"/>
      <w:lvlText w:val="•"/>
      <w:lvlJc w:val="left"/>
      <w:pPr>
        <w:ind w:left="234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C1EAE"/>
    <w:multiLevelType w:val="hybridMultilevel"/>
    <w:tmpl w:val="5538BF40"/>
    <w:lvl w:ilvl="0" w:tplc="0409000F">
      <w:start w:val="1"/>
      <w:numFmt w:val="decimal"/>
      <w:lvlText w:val="%1."/>
      <w:lvlJc w:val="left"/>
      <w:pPr>
        <w:ind w:left="720" w:hanging="360"/>
      </w:pPr>
      <w:rPr>
        <w:rFonts w:hint="default"/>
      </w:rPr>
    </w:lvl>
    <w:lvl w:ilvl="1" w:tplc="3C7CD0D6">
      <w:start w:val="7"/>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7E62F1"/>
    <w:multiLevelType w:val="hybridMultilevel"/>
    <w:tmpl w:val="26E6A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573699"/>
    <w:multiLevelType w:val="hybridMultilevel"/>
    <w:tmpl w:val="7AE419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C807FE"/>
    <w:multiLevelType w:val="hybridMultilevel"/>
    <w:tmpl w:val="FAAC2C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E30ED8"/>
    <w:multiLevelType w:val="hybridMultilevel"/>
    <w:tmpl w:val="56F44E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0F2212"/>
    <w:multiLevelType w:val="hybridMultilevel"/>
    <w:tmpl w:val="A9AA7C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8822F5"/>
    <w:multiLevelType w:val="hybridMultilevel"/>
    <w:tmpl w:val="87C069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EA5547"/>
    <w:multiLevelType w:val="hybridMultilevel"/>
    <w:tmpl w:val="83A6F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FA712E"/>
    <w:multiLevelType w:val="hybridMultilevel"/>
    <w:tmpl w:val="60AE8E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4A1033"/>
    <w:multiLevelType w:val="hybridMultilevel"/>
    <w:tmpl w:val="65DAF0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2"/>
  </w:num>
  <w:num w:numId="4">
    <w:abstractNumId w:val="9"/>
  </w:num>
  <w:num w:numId="5">
    <w:abstractNumId w:val="7"/>
  </w:num>
  <w:num w:numId="6">
    <w:abstractNumId w:val="6"/>
  </w:num>
  <w:num w:numId="7">
    <w:abstractNumId w:val="12"/>
  </w:num>
  <w:num w:numId="8">
    <w:abstractNumId w:val="13"/>
  </w:num>
  <w:num w:numId="9">
    <w:abstractNumId w:val="1"/>
  </w:num>
  <w:num w:numId="10">
    <w:abstractNumId w:val="8"/>
  </w:num>
  <w:num w:numId="11">
    <w:abstractNumId w:val="10"/>
  </w:num>
  <w:num w:numId="12">
    <w:abstractNumId w:val="0"/>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8E2"/>
    <w:rsid w:val="000A5130"/>
    <w:rsid w:val="001428E2"/>
    <w:rsid w:val="008F2A31"/>
    <w:rsid w:val="00A67C33"/>
    <w:rsid w:val="00FA7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5AB50"/>
  <w15:chartTrackingRefBased/>
  <w15:docId w15:val="{804A345B-5866-488F-B9CD-464D8A22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A31"/>
    <w:pPr>
      <w:ind w:left="720"/>
      <w:contextualSpacing/>
    </w:pPr>
  </w:style>
  <w:style w:type="character" w:styleId="Hyperlink">
    <w:name w:val="Hyperlink"/>
    <w:basedOn w:val="DefaultParagraphFont"/>
    <w:uiPriority w:val="99"/>
    <w:unhideWhenUsed/>
    <w:rsid w:val="008F2A31"/>
    <w:rPr>
      <w:color w:val="0563C1" w:themeColor="hyperlink"/>
      <w:u w:val="single"/>
    </w:rPr>
  </w:style>
  <w:style w:type="character" w:styleId="UnresolvedMention">
    <w:name w:val="Unresolved Mention"/>
    <w:basedOn w:val="DefaultParagraphFont"/>
    <w:uiPriority w:val="99"/>
    <w:semiHidden/>
    <w:unhideWhenUsed/>
    <w:rsid w:val="008F2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sign.ncsu.edu/cud/univ_design/principles/udprinciples.htm" TargetMode="External"/><Relationship Id="rId3" Type="http://schemas.openxmlformats.org/officeDocument/2006/relationships/settings" Target="settings.xml"/><Relationship Id="rId7" Type="http://schemas.openxmlformats.org/officeDocument/2006/relationships/hyperlink" Target="https://www.edffeph.org/your-rights-in-th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lex.europa.eu/legalcontent/EN/TXT/?uri=CELEX%3A32019L0882" TargetMode="External"/><Relationship Id="rId5" Type="http://schemas.openxmlformats.org/officeDocument/2006/relationships/hyperlink" Target="https://joinup.ec.europa.eu/collection/rolling-plan-ictstandardisation/accessibility-ict-products-and-services-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1679</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Bibarț</dc:creator>
  <cp:keywords/>
  <dc:description/>
  <cp:lastModifiedBy>Nicoleta Bibarț</cp:lastModifiedBy>
  <cp:revision>1</cp:revision>
  <dcterms:created xsi:type="dcterms:W3CDTF">2023-09-05T08:00:00Z</dcterms:created>
  <dcterms:modified xsi:type="dcterms:W3CDTF">2023-09-05T08:28:00Z</dcterms:modified>
</cp:coreProperties>
</file>