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97" w:rsidRPr="00F53E56"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r w:rsidRPr="00F53E56">
        <w:rPr>
          <w:rFonts w:ascii="inherit" w:eastAsia="Times New Roman" w:hAnsi="inherit" w:cs="Courier New"/>
          <w:b/>
          <w:color w:val="202124"/>
          <w:sz w:val="42"/>
          <w:szCs w:val="42"/>
          <w:lang w:eastAsia="el-GR"/>
        </w:rPr>
        <w:t xml:space="preserve">Νομοθετικό πλαίσιο </w:t>
      </w:r>
      <w:r w:rsidR="00F53E56" w:rsidRPr="00F53E56">
        <w:rPr>
          <w:rFonts w:ascii="inherit" w:eastAsia="Times New Roman" w:hAnsi="inherit" w:cs="Courier New"/>
          <w:b/>
          <w:color w:val="202124"/>
          <w:sz w:val="42"/>
          <w:szCs w:val="42"/>
          <w:lang w:eastAsia="el-GR"/>
        </w:rPr>
        <w:t>για</w:t>
      </w:r>
      <w:r w:rsidRPr="00F53E56">
        <w:rPr>
          <w:rFonts w:ascii="inherit" w:eastAsia="Times New Roman" w:hAnsi="inherit" w:cs="Courier New"/>
          <w:b/>
          <w:color w:val="202124"/>
          <w:sz w:val="42"/>
          <w:szCs w:val="42"/>
          <w:lang w:eastAsia="el-GR"/>
        </w:rPr>
        <w:t xml:space="preserve"> την προσβασιμότητα στην Ε</w:t>
      </w:r>
      <w:r w:rsidR="00417F43" w:rsidRPr="00F53E56">
        <w:rPr>
          <w:rFonts w:ascii="inherit" w:eastAsia="Times New Roman" w:hAnsi="inherit" w:cs="Courier New"/>
          <w:b/>
          <w:color w:val="202124"/>
          <w:sz w:val="42"/>
          <w:szCs w:val="42"/>
          <w:lang w:eastAsia="el-GR"/>
        </w:rPr>
        <w:t>υρωπαϊκή Ένωση</w:t>
      </w:r>
    </w:p>
    <w:p w:rsidR="00417F43" w:rsidRPr="00F53E56" w:rsidRDefault="00417F43"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p>
    <w:p w:rsidR="00036197" w:rsidRPr="00F53E56"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r w:rsidRPr="00F53E56">
        <w:rPr>
          <w:rFonts w:ascii="inherit" w:eastAsia="Times New Roman" w:hAnsi="inherit" w:cs="Courier New"/>
          <w:b/>
          <w:color w:val="202124"/>
          <w:sz w:val="42"/>
          <w:szCs w:val="42"/>
          <w:lang w:eastAsia="el-GR"/>
        </w:rPr>
        <w:t>Βήμα «Χτίζοντας τα θεμέλια» στην εκπαιδευτική προσέγγιση</w:t>
      </w:r>
    </w:p>
    <w:p w:rsidR="00036197" w:rsidRPr="00F53E56"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b/>
          <w:color w:val="202124"/>
          <w:sz w:val="42"/>
          <w:szCs w:val="42"/>
          <w:lang w:eastAsia="el-GR"/>
        </w:rPr>
      </w:pPr>
      <w:r w:rsidRPr="00F53E56">
        <w:rPr>
          <w:rFonts w:ascii="inherit" w:eastAsia="Times New Roman" w:hAnsi="inherit" w:cs="Courier New"/>
          <w:b/>
          <w:color w:val="202124"/>
          <w:sz w:val="42"/>
          <w:szCs w:val="42"/>
          <w:lang w:eastAsia="el-GR"/>
        </w:rPr>
        <w:t xml:space="preserve">Σχετικό </w:t>
      </w:r>
      <w:r w:rsidR="00417F43" w:rsidRPr="00F53E56">
        <w:rPr>
          <w:rFonts w:ascii="inherit" w:eastAsia="Times New Roman" w:hAnsi="inherit" w:cs="Courier New"/>
          <w:b/>
          <w:color w:val="202124"/>
          <w:sz w:val="42"/>
          <w:szCs w:val="42"/>
          <w:lang w:eastAsia="el-GR"/>
        </w:rPr>
        <w:t>με</w:t>
      </w:r>
      <w:r w:rsidRPr="00F53E56">
        <w:rPr>
          <w:rFonts w:ascii="inherit" w:eastAsia="Times New Roman" w:hAnsi="inherit" w:cs="Courier New"/>
          <w:b/>
          <w:color w:val="202124"/>
          <w:sz w:val="42"/>
          <w:szCs w:val="42"/>
          <w:lang w:eastAsia="el-GR"/>
        </w:rPr>
        <w:t xml:space="preserve"> όλους τους τύπους αναπηρίας</w:t>
      </w:r>
    </w:p>
    <w:p w:rsidR="000208BF" w:rsidRDefault="000208BF" w:rsidP="00F53E56"/>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Η προσβασιμότητα στο δομημένο περιβάλλον, η πληροφόρηση και η επικοινωνία (ιδίως στις ΤΠΕ) και οι μεταφορές απαιτούνται από το άρθρο 9 της σύμβασης του ΟΗΕ για τα άτομα με αναπηρία.</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Σύμφωνα με το αναφερόμενο άρθρο 9 – Προσβασιμότητα</w:t>
      </w:r>
      <w:r w:rsidR="00F53E56">
        <w:rPr>
          <w:rStyle w:val="y2iqfc"/>
          <w:rFonts w:ascii="inherit" w:hAnsi="inherit"/>
          <w:color w:val="202124"/>
          <w:sz w:val="42"/>
          <w:szCs w:val="42"/>
        </w:rPr>
        <w:t>:</w:t>
      </w:r>
    </w:p>
    <w:p w:rsidR="00036197" w:rsidRDefault="00F53E56" w:rsidP="00F53E56">
      <w:pPr>
        <w:pStyle w:val="-HTML"/>
        <w:spacing w:line="540" w:lineRule="atLeast"/>
        <w:jc w:val="both"/>
        <w:rPr>
          <w:rStyle w:val="y2iqfc"/>
          <w:rFonts w:ascii="inherit" w:hAnsi="inherit"/>
          <w:color w:val="202124"/>
          <w:sz w:val="42"/>
          <w:szCs w:val="42"/>
        </w:rPr>
      </w:pPr>
      <w:r>
        <w:rPr>
          <w:rStyle w:val="y2iqfc"/>
          <w:rFonts w:ascii="inherit" w:hAnsi="inherit" w:hint="eastAsia"/>
          <w:color w:val="202124"/>
          <w:sz w:val="42"/>
          <w:szCs w:val="42"/>
        </w:rPr>
        <w:t>«</w:t>
      </w:r>
      <w:r w:rsidR="00036197">
        <w:rPr>
          <w:rStyle w:val="y2iqfc"/>
          <w:rFonts w:ascii="inherit" w:hAnsi="inherit"/>
          <w:color w:val="202124"/>
          <w:sz w:val="42"/>
          <w:szCs w:val="42"/>
        </w:rPr>
        <w:t>1. Για να μπορέσουν τα άτομα με αναπηρία να ζουν ανεξάρτητα και να συμμετέχουν πλήρως σε όλες τις πτυχές της ζωής, τα Συμβαλλόμενα Κράτη λαμβάνουν τα κατάλληλα μέτρα για να εξασφαλίσουν</w:t>
      </w:r>
      <w:r w:rsidR="00417F43">
        <w:rPr>
          <w:rStyle w:val="y2iqfc"/>
          <w:rFonts w:ascii="inherit" w:hAnsi="inherit"/>
          <w:color w:val="202124"/>
          <w:sz w:val="42"/>
          <w:szCs w:val="42"/>
        </w:rPr>
        <w:t xml:space="preserve"> </w:t>
      </w:r>
      <w:r w:rsidR="00036197">
        <w:rPr>
          <w:rStyle w:val="y2iqfc"/>
          <w:rFonts w:ascii="inherit" w:hAnsi="inherit"/>
          <w:color w:val="202124"/>
          <w:sz w:val="42"/>
          <w:szCs w:val="42"/>
        </w:rPr>
        <w:t>πρόσβαση σε άτομα με αναπηρίες, σε ίση βάση με άλλους, στο φυσικό περιβάλλον,</w:t>
      </w:r>
      <w:r w:rsidR="00417F43">
        <w:rPr>
          <w:rStyle w:val="y2iqfc"/>
          <w:rFonts w:ascii="inherit" w:hAnsi="inherit"/>
          <w:color w:val="202124"/>
          <w:sz w:val="42"/>
          <w:szCs w:val="42"/>
        </w:rPr>
        <w:t xml:space="preserve"> </w:t>
      </w:r>
      <w:r w:rsidR="00036197">
        <w:rPr>
          <w:rStyle w:val="y2iqfc"/>
          <w:rFonts w:ascii="inherit" w:hAnsi="inherit"/>
          <w:color w:val="202124"/>
          <w:sz w:val="42"/>
          <w:szCs w:val="42"/>
        </w:rPr>
        <w:t xml:space="preserve">στις μεταφορές, στις πληροφορίες και τις επικοινωνίες, συμπεριλαμβανομένων των τεχνολογιών και συστημάτων πληροφοριών και επικοινωνιών, και σε άλλες </w:t>
      </w:r>
      <w:r w:rsidR="00036197">
        <w:rPr>
          <w:rStyle w:val="y2iqfc"/>
          <w:rFonts w:ascii="inherit" w:hAnsi="inherit"/>
          <w:color w:val="202124"/>
          <w:sz w:val="42"/>
          <w:szCs w:val="42"/>
        </w:rPr>
        <w:lastRenderedPageBreak/>
        <w:t xml:space="preserve">εγκαταστάσεις και υπηρεσίες ανοικτές ή παρέχονται στο κοινό, τόσο σε αστικές περιοχές </w:t>
      </w:r>
      <w:r w:rsidR="00417F43">
        <w:rPr>
          <w:rStyle w:val="y2iqfc"/>
          <w:rFonts w:ascii="inherit" w:hAnsi="inherit"/>
          <w:color w:val="202124"/>
          <w:sz w:val="42"/>
          <w:szCs w:val="42"/>
        </w:rPr>
        <w:t xml:space="preserve">όσο </w:t>
      </w:r>
      <w:r w:rsidR="00036197">
        <w:rPr>
          <w:rStyle w:val="y2iqfc"/>
          <w:rFonts w:ascii="inherit" w:hAnsi="inherit"/>
          <w:color w:val="202124"/>
          <w:sz w:val="42"/>
          <w:szCs w:val="42"/>
        </w:rPr>
        <w:t>και σε αγροτικές περιοχές. Τα μέτρα αυτά, τα οποία περιλαμβάνουν τον εντοπισμό και την εξάλειψη των εμποδίων και των εμποδίων στην προσβασιμότητα, ισχύουν, μεταξύ άλλων</w:t>
      </w:r>
      <w:r w:rsidR="00417F43">
        <w:rPr>
          <w:rStyle w:val="y2iqfc"/>
          <w:rFonts w:ascii="inherit" w:hAnsi="inherit"/>
          <w:color w:val="202124"/>
          <w:sz w:val="42"/>
          <w:szCs w:val="42"/>
        </w:rPr>
        <w:t xml:space="preserve"> για</w:t>
      </w:r>
      <w:r w:rsidR="00036197">
        <w:rPr>
          <w:rStyle w:val="y2iqfc"/>
          <w:rFonts w:ascii="inherit" w:hAnsi="inherit"/>
          <w:color w:val="202124"/>
          <w:sz w:val="42"/>
          <w:szCs w:val="42"/>
        </w:rPr>
        <w:t>:</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α) Κτίρια, δρόμ</w:t>
      </w:r>
      <w:r w:rsidR="00417F43">
        <w:rPr>
          <w:rStyle w:val="y2iqfc"/>
          <w:rFonts w:ascii="inherit" w:hAnsi="inherit"/>
          <w:color w:val="202124"/>
          <w:sz w:val="42"/>
          <w:szCs w:val="42"/>
        </w:rPr>
        <w:t>ους</w:t>
      </w:r>
      <w:r>
        <w:rPr>
          <w:rStyle w:val="y2iqfc"/>
          <w:rFonts w:ascii="inherit" w:hAnsi="inherit"/>
          <w:color w:val="202124"/>
          <w:sz w:val="42"/>
          <w:szCs w:val="42"/>
        </w:rPr>
        <w:t>, μεταφορές και άλλες εγκαταστάσεις εσωτερικού και εξωτερικού χώρου, συμπεριλαμβανομένων των σχολείων, των κατοικιών, των ιατρικών εγκαταστάσεων και των χώρων εργασίας</w:t>
      </w:r>
      <w:r w:rsidR="00417F43">
        <w:rPr>
          <w:rStyle w:val="y2iqfc"/>
          <w:rFonts w:ascii="inherit" w:hAnsi="inherit"/>
          <w:color w:val="202124"/>
          <w:sz w:val="42"/>
          <w:szCs w:val="42"/>
        </w:rPr>
        <w:t>.</w:t>
      </w:r>
    </w:p>
    <w:p w:rsidR="00036197" w:rsidRDefault="00036197" w:rsidP="00F53E56">
      <w:pPr>
        <w:pStyle w:val="-HTML"/>
        <w:spacing w:line="540" w:lineRule="atLeast"/>
        <w:jc w:val="both"/>
        <w:rPr>
          <w:rFonts w:ascii="inherit" w:hAnsi="inherit"/>
          <w:color w:val="202124"/>
          <w:sz w:val="42"/>
          <w:szCs w:val="42"/>
        </w:rPr>
      </w:pPr>
      <w:r>
        <w:rPr>
          <w:rStyle w:val="y2iqfc"/>
          <w:rFonts w:ascii="inherit" w:hAnsi="inherit"/>
          <w:color w:val="202124"/>
          <w:sz w:val="42"/>
          <w:szCs w:val="42"/>
        </w:rPr>
        <w:t>β) Πληροφορίες, επικοινωνίες και άλλες υπηρεσίες, συμπεριλαμβανομένων των ηλεκτρονικών υπηρεσιών και των υπηρεσιών έκτακτης ανάγκης.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2. Τα Κράτη Μέρη λαμβάνουν επίσης τα κατάλληλα μέτρα:</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α) Ανάπτυξη, δημοσίευση και παρακολούθηση της εφαρμογής ελάχιστων προτύπων και κατευθυντήριων γραμμών για την προσβασιμότητα εγκαταστάσεων και υπηρεσιών που είναι ανοιχτές ή παρέχονται στο κοινό</w:t>
      </w:r>
      <w:r w:rsidR="00417F43">
        <w:rPr>
          <w:rStyle w:val="y2iqfc"/>
          <w:rFonts w:ascii="inherit" w:hAnsi="inherit"/>
          <w:color w:val="202124"/>
          <w:sz w:val="42"/>
          <w:szCs w:val="42"/>
        </w:rPr>
        <w:t>.</w:t>
      </w:r>
    </w:p>
    <w:p w:rsidR="00036197" w:rsidRDefault="00036197" w:rsidP="00F53E56">
      <w:pPr>
        <w:pStyle w:val="-HTML"/>
        <w:spacing w:line="540" w:lineRule="atLeast"/>
        <w:jc w:val="both"/>
        <w:rPr>
          <w:rFonts w:ascii="inherit" w:hAnsi="inherit"/>
          <w:color w:val="202124"/>
          <w:sz w:val="42"/>
          <w:szCs w:val="42"/>
        </w:rPr>
      </w:pPr>
      <w:r>
        <w:rPr>
          <w:rStyle w:val="y2iqfc"/>
          <w:rFonts w:ascii="inherit" w:hAnsi="inherit"/>
          <w:color w:val="202124"/>
          <w:sz w:val="42"/>
          <w:szCs w:val="42"/>
        </w:rPr>
        <w:lastRenderedPageBreak/>
        <w:t>β) Να διασφαλίσει ότι οι ιδιωτικοί φορείς που προσφέρουν εγκαταστάσεις και υπηρεσίες που είναι ανοικτές ή παρέχονται στο κοινό λαμβάνουν υπόψη όλες τις πτυχές της προσβασιμότητας για τα άτομα με αναπηρία.</w:t>
      </w:r>
    </w:p>
    <w:p w:rsidR="00036197" w:rsidRPr="00036197"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eastAsia="el-GR"/>
        </w:rPr>
      </w:pPr>
      <w:r w:rsidRPr="00036197">
        <w:rPr>
          <w:rFonts w:ascii="inherit" w:eastAsia="Times New Roman" w:hAnsi="inherit" w:cs="Courier New"/>
          <w:color w:val="202124"/>
          <w:sz w:val="42"/>
          <w:szCs w:val="42"/>
          <w:lang w:eastAsia="el-GR"/>
        </w:rPr>
        <w:t>γ) Παροχή εκπαίδευσης στους ενδιαφερόμενους σχετικά με ζητήματα προσβασιμότητας που αντιμετωπίζουν τα άτομα με αναπηρία.</w:t>
      </w:r>
    </w:p>
    <w:p w:rsidR="00036197" w:rsidRPr="00036197"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eastAsia="el-GR"/>
        </w:rPr>
      </w:pPr>
      <w:r w:rsidRPr="00036197">
        <w:rPr>
          <w:rFonts w:ascii="inherit" w:eastAsia="Times New Roman" w:hAnsi="inherit" w:cs="Courier New"/>
          <w:color w:val="202124"/>
          <w:sz w:val="42"/>
          <w:szCs w:val="42"/>
          <w:lang w:eastAsia="el-GR"/>
        </w:rPr>
        <w:t xml:space="preserve">δ) Να παρέχει σε κτίρια και άλλες εγκαταστάσεις ανοιχτές στο κοινό σήμανση σε γραφή </w:t>
      </w:r>
      <w:proofErr w:type="spellStart"/>
      <w:r w:rsidRPr="00036197">
        <w:rPr>
          <w:rFonts w:ascii="inherit" w:eastAsia="Times New Roman" w:hAnsi="inherit" w:cs="Courier New"/>
          <w:color w:val="202124"/>
          <w:sz w:val="42"/>
          <w:szCs w:val="42"/>
          <w:lang w:eastAsia="el-GR"/>
        </w:rPr>
        <w:t>Braille</w:t>
      </w:r>
      <w:proofErr w:type="spellEnd"/>
      <w:r w:rsidRPr="00036197">
        <w:rPr>
          <w:rFonts w:ascii="inherit" w:eastAsia="Times New Roman" w:hAnsi="inherit" w:cs="Courier New"/>
          <w:color w:val="202124"/>
          <w:sz w:val="42"/>
          <w:szCs w:val="42"/>
          <w:lang w:eastAsia="el-GR"/>
        </w:rPr>
        <w:t xml:space="preserve"> και σε ευανάγνωστες και κατανοητές μορφές.</w:t>
      </w:r>
    </w:p>
    <w:p w:rsidR="00036197" w:rsidRPr="00036197"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eastAsia="el-GR"/>
        </w:rPr>
      </w:pPr>
      <w:r w:rsidRPr="00036197">
        <w:rPr>
          <w:rFonts w:ascii="inherit" w:eastAsia="Times New Roman" w:hAnsi="inherit" w:cs="Courier New"/>
          <w:color w:val="202124"/>
          <w:sz w:val="42"/>
          <w:szCs w:val="42"/>
          <w:lang w:eastAsia="el-GR"/>
        </w:rPr>
        <w:t>ε) Να παρέχουν μορφές ζωντανής βοήθειας και μεσάζοντες, συμπεριλαμβανομένων οδηγών, αναγνωστών και επαγγελματιών διερμηνέων νοηματικής γλώσσας, για να διευκολύνουν την πρόσβαση σε κτίρια και άλλες εγκαταστάσεις ανοιχτές στο κοινό.</w:t>
      </w:r>
    </w:p>
    <w:p w:rsidR="00036197" w:rsidRPr="00036197"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eastAsia="el-GR"/>
        </w:rPr>
      </w:pPr>
      <w:r w:rsidRPr="00036197">
        <w:rPr>
          <w:rFonts w:ascii="inherit" w:eastAsia="Times New Roman" w:hAnsi="inherit" w:cs="Courier New"/>
          <w:color w:val="202124"/>
          <w:sz w:val="42"/>
          <w:szCs w:val="42"/>
          <w:lang w:eastAsia="el-GR"/>
        </w:rPr>
        <w:t>στ) Να προωθήσει άλλες κατάλληλες μορφές βοήθειας και υποστήριξης σε άτομα με αναπηρία για να εξασφαλίσει την πρόσβασή τους σε πληροφορίες.</w:t>
      </w:r>
    </w:p>
    <w:p w:rsidR="00036197" w:rsidRPr="00036197"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eastAsia="el-GR"/>
        </w:rPr>
      </w:pPr>
      <w:r w:rsidRPr="00036197">
        <w:rPr>
          <w:rFonts w:ascii="inherit" w:eastAsia="Times New Roman" w:hAnsi="inherit" w:cs="Courier New"/>
          <w:color w:val="202124"/>
          <w:sz w:val="42"/>
          <w:szCs w:val="42"/>
          <w:lang w:eastAsia="el-GR"/>
        </w:rPr>
        <w:t xml:space="preserve">ζ) Να προωθήσει την πρόσβαση των ατόμων με αναπηρία σε νέες τεχνολογίες και </w:t>
      </w:r>
      <w:r w:rsidRPr="00036197">
        <w:rPr>
          <w:rFonts w:ascii="inherit" w:eastAsia="Times New Roman" w:hAnsi="inherit" w:cs="Courier New"/>
          <w:color w:val="202124"/>
          <w:sz w:val="42"/>
          <w:szCs w:val="42"/>
          <w:lang w:eastAsia="el-GR"/>
        </w:rPr>
        <w:lastRenderedPageBreak/>
        <w:t>συστήματα πληροφοριών και επικοινωνιών, συμπεριλαμβανομένου του Διαδικτύου.</w:t>
      </w:r>
    </w:p>
    <w:p w:rsidR="00036197" w:rsidRDefault="00036197"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eastAsia="el-GR"/>
        </w:rPr>
      </w:pPr>
      <w:r w:rsidRPr="00036197">
        <w:rPr>
          <w:rFonts w:ascii="inherit" w:eastAsia="Times New Roman" w:hAnsi="inherit" w:cs="Courier New"/>
          <w:color w:val="202124"/>
          <w:sz w:val="42"/>
          <w:szCs w:val="42"/>
          <w:lang w:eastAsia="el-GR"/>
        </w:rPr>
        <w:t xml:space="preserve">η) Να προωθήσει το σχεδιασμό, την ανάπτυξη, την παραγωγή και τη διανομή </w:t>
      </w:r>
      <w:proofErr w:type="spellStart"/>
      <w:r w:rsidRPr="00036197">
        <w:rPr>
          <w:rFonts w:ascii="inherit" w:eastAsia="Times New Roman" w:hAnsi="inherit" w:cs="Courier New"/>
          <w:color w:val="202124"/>
          <w:sz w:val="42"/>
          <w:szCs w:val="42"/>
          <w:lang w:eastAsia="el-GR"/>
        </w:rPr>
        <w:t>προσβάσιμων</w:t>
      </w:r>
      <w:proofErr w:type="spellEnd"/>
      <w:r w:rsidRPr="00036197">
        <w:rPr>
          <w:rFonts w:ascii="inherit" w:eastAsia="Times New Roman" w:hAnsi="inherit" w:cs="Courier New"/>
          <w:color w:val="202124"/>
          <w:sz w:val="42"/>
          <w:szCs w:val="42"/>
          <w:lang w:eastAsia="el-GR"/>
        </w:rPr>
        <w:t xml:space="preserve"> τεχνολογιών και συστημάτων πληροφοριών και επικοινωνιών σε πρώιμο στάδιο, έτσι ώστε αυτές οι τεχνολογίες και συστήματα να καταστούν </w:t>
      </w:r>
      <w:proofErr w:type="spellStart"/>
      <w:r w:rsidRPr="00036197">
        <w:rPr>
          <w:rFonts w:ascii="inherit" w:eastAsia="Times New Roman" w:hAnsi="inherit" w:cs="Courier New"/>
          <w:color w:val="202124"/>
          <w:sz w:val="42"/>
          <w:szCs w:val="42"/>
          <w:lang w:eastAsia="el-GR"/>
        </w:rPr>
        <w:t>προσβάσιμες</w:t>
      </w:r>
      <w:proofErr w:type="spellEnd"/>
      <w:r w:rsidRPr="00036197">
        <w:rPr>
          <w:rFonts w:ascii="inherit" w:eastAsia="Times New Roman" w:hAnsi="inherit" w:cs="Courier New"/>
          <w:color w:val="202124"/>
          <w:sz w:val="42"/>
          <w:szCs w:val="42"/>
          <w:lang w:eastAsia="el-GR"/>
        </w:rPr>
        <w:t xml:space="preserve"> με ελάχιστο κόστος».</w:t>
      </w:r>
    </w:p>
    <w:p w:rsidR="00C734FB" w:rsidRPr="00036197" w:rsidRDefault="00C734FB" w:rsidP="00F53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42"/>
          <w:szCs w:val="42"/>
          <w:lang w:eastAsia="el-GR"/>
        </w:rPr>
      </w:pPr>
    </w:p>
    <w:p w:rsidR="00036197" w:rsidRPr="00036197" w:rsidRDefault="00036197" w:rsidP="00F53E56">
      <w:pPr>
        <w:jc w:val="both"/>
        <w:rPr>
          <w:rFonts w:ascii="Arial" w:eastAsia="Times New Roman" w:hAnsi="Arial" w:cs="Arial"/>
          <w:color w:val="202124"/>
          <w:sz w:val="2"/>
          <w:szCs w:val="2"/>
          <w:lang w:eastAsia="el-GR"/>
        </w:rPr>
      </w:pP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Τα πρότυπα προσβασιμότητας, κοινά σε όλη την Ευρωπαϊκή Ένωση, βοηθούν στην άρση των φραγμών για τα άτομα με αναπηρίες καθώς και για άλλους (π.χ. ηλικιωμένους, άτομα με προσωρινή αναπηρία λόγω ατυχήματος, έγκυες γυναίκες, μητέρες με καρότσια και άλλα). Πολλά πρότυπα έχουν ήδη αναπτυχθεί και μια άλλη παρτίδα δεν έχει ακόμη οριστικοποιηθεί. Έτσι, για παράδειγμα, η ΕΕ έχει αναθέσει την Εντολή 420 σχετικά με τις ευρωπαϊκές απαιτήσεις προσβασιμότητας για δημόσιες συμβάσεις στο δομημένο περιβάλλον (εντολή 420 ή M/420), η οποία πρέπει να ενσωματώνει τις απαιτήσεις για </w:t>
      </w:r>
      <w:r>
        <w:rPr>
          <w:rStyle w:val="y2iqfc"/>
          <w:rFonts w:ascii="inherit" w:hAnsi="inherit"/>
          <w:color w:val="202124"/>
          <w:sz w:val="42"/>
          <w:szCs w:val="42"/>
        </w:rPr>
        <w:lastRenderedPageBreak/>
        <w:t>ένα σχέδιο για όλους και να θέτει το πρότυπο για αυτό.</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Οι 7 αρχές σχεδιασμού για όλους, μερικές από τις οποίες ισχύουν εξίσου και όσον αφορά την προσβασιμότητα στις πληροφορίες και τις ΤΠΕ, είναι:</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1. Δίκαιη χρήση. Ο σχεδιασμός είναι χρήσιμος και εμπορεύσιμος σε άτομα με διαφορετικές ικανότητες.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2. Ευελιξία στη χρήση. Ο σχεδιασμός φιλοξενεί ένα ευρύ φάσμα ατομικών προτιμήσεων και ικανοτήτων.</w:t>
      </w:r>
    </w:p>
    <w:p w:rsidR="00036197" w:rsidRDefault="00036197" w:rsidP="00F53E56">
      <w:pPr>
        <w:pStyle w:val="-HTML"/>
        <w:spacing w:line="540" w:lineRule="atLeast"/>
        <w:jc w:val="both"/>
        <w:rPr>
          <w:rFonts w:ascii="inherit" w:hAnsi="inherit"/>
          <w:color w:val="202124"/>
          <w:sz w:val="42"/>
          <w:szCs w:val="42"/>
        </w:rPr>
      </w:pPr>
      <w:r>
        <w:rPr>
          <w:rStyle w:val="y2iqfc"/>
          <w:rFonts w:ascii="inherit" w:hAnsi="inherit"/>
          <w:color w:val="202124"/>
          <w:sz w:val="42"/>
          <w:szCs w:val="42"/>
        </w:rPr>
        <w:t>3. Απλή και διαισθητική χρήση. Η χρήση του σχεδίου είναι εύκολα κατανοητή, ανεξάρτητα από την εμπειρία, τις γνώσεις, τις γλωσσικές δεξιότητες ή το τρέχον επίπεδο συγκέντρωσης του χρήστη.</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4. Αντιληπτές πληροφορίες. Ο σχεδιασμός μεταδίδει αποτελεσματικά τις απαραίτητες πληροφορίες στον χρήστη, ανεξάρτητα από τις συνθήκες περιβάλλοντος ή τις αισθητηριακές ικανότητες του χρήστη.</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5. Ανοχή στο λάθος. Ο σχεδιασμός ελαχιστοποιεί τους κινδύνους και τις </w:t>
      </w:r>
      <w:r>
        <w:rPr>
          <w:rStyle w:val="y2iqfc"/>
          <w:rFonts w:ascii="inherit" w:hAnsi="inherit"/>
          <w:color w:val="202124"/>
          <w:sz w:val="42"/>
          <w:szCs w:val="42"/>
        </w:rPr>
        <w:lastRenderedPageBreak/>
        <w:t>αρνητικές συνέπειες τυχαίων ή ακούσιων ενεργειών.</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6. Χαμηλή σωματική προσπάθεια. Ο σχεδιασμός μπορεί να χρησιμοποιηθεί αποτελεσματικά και άνετα και με ελάχιστη κούραση.</w:t>
      </w:r>
    </w:p>
    <w:p w:rsidR="00036197" w:rsidRDefault="00036197" w:rsidP="00F53E56">
      <w:pPr>
        <w:pStyle w:val="-HTML"/>
        <w:spacing w:line="540" w:lineRule="atLeast"/>
        <w:jc w:val="both"/>
        <w:rPr>
          <w:rFonts w:ascii="inherit" w:hAnsi="inherit"/>
          <w:color w:val="202124"/>
          <w:sz w:val="42"/>
          <w:szCs w:val="42"/>
        </w:rPr>
      </w:pPr>
      <w:r>
        <w:rPr>
          <w:rStyle w:val="y2iqfc"/>
          <w:rFonts w:ascii="inherit" w:hAnsi="inherit"/>
          <w:color w:val="202124"/>
          <w:sz w:val="42"/>
          <w:szCs w:val="42"/>
        </w:rPr>
        <w:t>7. Μέγεθος και χώρος για προσέγγιση και χρήση. Παρέχεται κατάλληλο μέγεθος και χώρος για προσέγγιση, προσέγγιση, χειρισμό και χρήση ανεξάρτητα από το μέγεθος του σώματος, τη στάση ή την κινητικότητα του χρήστη.</w:t>
      </w:r>
    </w:p>
    <w:p w:rsidR="00C734FB"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Η Προσβασιμότητα στις ΤΠΕ παρουσιάζεται </w:t>
      </w:r>
      <w:r w:rsidR="00C734FB">
        <w:rPr>
          <w:rStyle w:val="y2iqfc"/>
          <w:rFonts w:ascii="inherit" w:hAnsi="inherit"/>
          <w:color w:val="202124"/>
          <w:sz w:val="42"/>
          <w:szCs w:val="42"/>
        </w:rPr>
        <w:t xml:space="preserve"> αναλυτικά </w:t>
      </w:r>
      <w:r>
        <w:rPr>
          <w:rStyle w:val="y2iqfc"/>
          <w:rFonts w:ascii="inherit" w:hAnsi="inherit"/>
          <w:color w:val="202124"/>
          <w:sz w:val="42"/>
          <w:szCs w:val="42"/>
        </w:rPr>
        <w:t xml:space="preserve">εδώ: </w:t>
      </w:r>
    </w:p>
    <w:p w:rsidR="00C734FB" w:rsidRDefault="004E2A0E" w:rsidP="00F53E56">
      <w:pPr>
        <w:pStyle w:val="-HTML"/>
        <w:spacing w:line="540" w:lineRule="atLeast"/>
        <w:jc w:val="both"/>
        <w:rPr>
          <w:rStyle w:val="y2iqfc"/>
          <w:rFonts w:ascii="inherit" w:hAnsi="inherit"/>
          <w:color w:val="202124"/>
          <w:sz w:val="42"/>
          <w:szCs w:val="42"/>
        </w:rPr>
      </w:pPr>
      <w:hyperlink r:id="rId5" w:history="1">
        <w:r w:rsidR="00C734FB" w:rsidRPr="0018747E">
          <w:rPr>
            <w:rStyle w:val="-"/>
            <w:rFonts w:ascii="inherit" w:hAnsi="inherit"/>
            <w:sz w:val="42"/>
            <w:szCs w:val="42"/>
          </w:rPr>
          <w:t>https://joinup.ec.europa.eu/collection/rolling-plan-ict-standardisation/accessibility-ict-products-and-services-0</w:t>
        </w:r>
      </w:hyperlink>
      <w:r w:rsidR="00036197">
        <w:rPr>
          <w:rStyle w:val="y2iqfc"/>
          <w:rFonts w:ascii="inherit" w:hAnsi="inherit"/>
          <w:color w:val="202124"/>
          <w:sz w:val="42"/>
          <w:szCs w:val="42"/>
        </w:rPr>
        <w:t xml:space="preserve">, </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παρέχοντας πληροφορίες σχετικά με την πολιτική και τη νομοθεσία, ξεκινώντας από τους στόχους πολιτικής, τη συνάφεια με τη Σύμβαση των Ηνωμένων Εθνών, το άρθρο 9 και την προοπτική της ΕΚ σχετικά με αυτό, καθώς και την παροχή πλήρους καταλόγου αναφορών, που οδηγεί σε:</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lastRenderedPageBreak/>
        <w:t xml:space="preserve">• </w:t>
      </w:r>
      <w:hyperlink r:id="rId6" w:history="1">
        <w:r w:rsidRPr="00F53E56">
          <w:rPr>
            <w:rStyle w:val="-"/>
            <w:rFonts w:ascii="inherit" w:hAnsi="inherit"/>
            <w:sz w:val="42"/>
            <w:szCs w:val="42"/>
          </w:rPr>
          <w:t>Η Οδηγία (ΕΕ) 2016/2102 του Ευρωπαϊκού Κοινοβουλίου και του Συμβουλίου της 26ης Οκτωβρίου 2016</w:t>
        </w:r>
      </w:hyperlink>
      <w:r>
        <w:rPr>
          <w:rStyle w:val="y2iqfc"/>
          <w:rFonts w:ascii="inherit" w:hAnsi="inherit"/>
          <w:color w:val="202124"/>
          <w:sz w:val="42"/>
          <w:szCs w:val="42"/>
        </w:rPr>
        <w:t xml:space="preserve"> για την προσβασιμότητα των ιστοσελίδων και των εφαρμογών για κινητές συσκευές φορέων του δημόσιου τομέα. Η οδηγία για την προσβασιμότητα στον Ιστό.</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 </w:t>
      </w:r>
      <w:hyperlink r:id="rId7" w:history="1">
        <w:r w:rsidRPr="00F53E56">
          <w:rPr>
            <w:rStyle w:val="-"/>
            <w:rFonts w:ascii="inherit" w:hAnsi="inherit"/>
            <w:sz w:val="42"/>
            <w:szCs w:val="42"/>
          </w:rPr>
          <w:t>Η Οδηγία (ΕΕ) 2019/882 του Ευρωπαϊκού Κοινοβουλίου και του Συμβουλίου της 17ης Απριλίου 2019</w:t>
        </w:r>
      </w:hyperlink>
      <w:r>
        <w:rPr>
          <w:rStyle w:val="y2iqfc"/>
          <w:rFonts w:ascii="inherit" w:hAnsi="inherit"/>
          <w:color w:val="202124"/>
          <w:sz w:val="42"/>
          <w:szCs w:val="42"/>
        </w:rPr>
        <w:t xml:space="preserve"> σχετικά με τις απαιτήσεις προσβασιμότητας για προϊόντα και υπηρεσίες. Ο Ευρωπαϊκός Νόμος για την Προσβασιμότητα.</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 </w:t>
      </w:r>
      <w:hyperlink r:id="rId8" w:history="1">
        <w:r w:rsidRPr="00F53E56">
          <w:rPr>
            <w:rStyle w:val="-"/>
            <w:rFonts w:ascii="inherit" w:hAnsi="inherit"/>
            <w:sz w:val="42"/>
            <w:szCs w:val="42"/>
          </w:rPr>
          <w:t>Η Σύμβαση των Ηνωμένων Εθνών για τα Δικαιώματα των Ατόμων με Αναπηρία (UN CRPD).</w:t>
        </w:r>
      </w:hyperlink>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 </w:t>
      </w:r>
      <w:hyperlink r:id="rId9" w:history="1">
        <w:r w:rsidRPr="00F53E56">
          <w:rPr>
            <w:rStyle w:val="-"/>
            <w:rFonts w:ascii="inherit" w:hAnsi="inherit"/>
            <w:sz w:val="42"/>
            <w:szCs w:val="42"/>
          </w:rPr>
          <w:t>Οδηγία (ΕΕ) 2018/1808</w:t>
        </w:r>
      </w:hyperlink>
      <w:r>
        <w:rPr>
          <w:rStyle w:val="y2iqfc"/>
          <w:rFonts w:ascii="inherit" w:hAnsi="inherit"/>
          <w:color w:val="202124"/>
          <w:sz w:val="42"/>
          <w:szCs w:val="42"/>
        </w:rPr>
        <w:t xml:space="preserve"> του Ευρωπαϊκού Κοινοβουλίου και του Συμβουλίου, της 14ης Νοεμβρίου 2018, για την τροποποίηση της οδηγίας 2010/13/ΕΕ για τον συντονισμό ορισμένων διατάξεων που θεσπίζονται νομοθετικά, κανονιστικά ή διοικητικά στα κράτη μέλη σχετικά με την παροχή</w:t>
      </w:r>
      <w:r w:rsidR="00C734FB">
        <w:rPr>
          <w:rStyle w:val="y2iqfc"/>
          <w:rFonts w:ascii="inherit" w:hAnsi="inherit"/>
          <w:color w:val="202124"/>
          <w:sz w:val="42"/>
          <w:szCs w:val="42"/>
        </w:rPr>
        <w:t xml:space="preserve"> </w:t>
      </w:r>
      <w:r>
        <w:rPr>
          <w:rStyle w:val="y2iqfc"/>
          <w:rFonts w:ascii="inherit" w:hAnsi="inherit"/>
          <w:color w:val="202124"/>
          <w:sz w:val="42"/>
          <w:szCs w:val="42"/>
        </w:rPr>
        <w:t>οπτικοακουστικώ</w:t>
      </w:r>
      <w:r w:rsidR="00C734FB">
        <w:rPr>
          <w:rStyle w:val="y2iqfc"/>
          <w:rFonts w:ascii="inherit" w:hAnsi="inherit"/>
          <w:color w:val="202124"/>
          <w:sz w:val="42"/>
          <w:szCs w:val="42"/>
        </w:rPr>
        <w:t xml:space="preserve">ν </w:t>
      </w:r>
      <w:r>
        <w:rPr>
          <w:rStyle w:val="y2iqfc"/>
          <w:rFonts w:ascii="inherit" w:hAnsi="inherit"/>
          <w:color w:val="202124"/>
          <w:sz w:val="42"/>
          <w:szCs w:val="42"/>
        </w:rPr>
        <w:t>υπηρεσ</w:t>
      </w:r>
      <w:r w:rsidR="00C734FB">
        <w:rPr>
          <w:rStyle w:val="y2iqfc"/>
          <w:rFonts w:ascii="inherit" w:hAnsi="inherit"/>
          <w:color w:val="202124"/>
          <w:sz w:val="42"/>
          <w:szCs w:val="42"/>
        </w:rPr>
        <w:t xml:space="preserve">ιών </w:t>
      </w:r>
      <w:r>
        <w:rPr>
          <w:rStyle w:val="y2iqfc"/>
          <w:rFonts w:ascii="inherit" w:hAnsi="inherit"/>
          <w:color w:val="202124"/>
          <w:sz w:val="42"/>
          <w:szCs w:val="42"/>
        </w:rPr>
        <w:t xml:space="preserve">οπτικοακουστικών μέσων ενημέρωσης </w:t>
      </w:r>
      <w:r>
        <w:rPr>
          <w:rStyle w:val="y2iqfc"/>
          <w:rFonts w:ascii="inherit" w:hAnsi="inherit"/>
          <w:color w:val="202124"/>
          <w:sz w:val="42"/>
          <w:szCs w:val="42"/>
        </w:rPr>
        <w:lastRenderedPageBreak/>
        <w:t>(οδηγία για τις υπηρεσίες οπτικοακουστικών μέσων) ενόψει της μεταβαλλόμενης πραγματικότητας της αγοράς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 </w:t>
      </w:r>
      <w:hyperlink r:id="rId10" w:history="1">
        <w:r w:rsidRPr="00F53E56">
          <w:rPr>
            <w:rStyle w:val="-"/>
            <w:rFonts w:ascii="inherit" w:hAnsi="inherit"/>
            <w:sz w:val="42"/>
            <w:szCs w:val="42"/>
          </w:rPr>
          <w:t>Οδηγία (ΕΕ) 2018/1972</w:t>
        </w:r>
      </w:hyperlink>
      <w:r>
        <w:rPr>
          <w:rStyle w:val="y2iqfc"/>
          <w:rFonts w:ascii="inherit" w:hAnsi="inherit"/>
          <w:color w:val="202124"/>
          <w:sz w:val="42"/>
          <w:szCs w:val="42"/>
        </w:rPr>
        <w:t xml:space="preserve"> του Ευρωπαϊκού Κοινοβουλίου και του Συμβουλίου, της 11ης Δεκεμβρίου 2018, για τη θέσπιση του Ευρωπαϊκού Κώδικα Ηλεκτρονικών Επικοινωνιών (Αναδιατύπωση), η οποία βασίζεται στις Διακήρυξη του </w:t>
      </w:r>
      <w:proofErr w:type="spellStart"/>
      <w:r>
        <w:rPr>
          <w:rStyle w:val="y2iqfc"/>
          <w:rFonts w:ascii="inherit" w:hAnsi="inherit"/>
          <w:color w:val="202124"/>
          <w:sz w:val="42"/>
          <w:szCs w:val="42"/>
        </w:rPr>
        <w:t>Ταλίναντ</w:t>
      </w:r>
      <w:proofErr w:type="spellEnd"/>
      <w:r>
        <w:rPr>
          <w:rStyle w:val="y2iqfc"/>
          <w:rFonts w:ascii="inherit" w:hAnsi="inherit"/>
          <w:color w:val="202124"/>
          <w:sz w:val="42"/>
          <w:szCs w:val="42"/>
        </w:rPr>
        <w:t xml:space="preserve"> του Βερολίνου και αναφέρεται στον WAD και τον EAA ως αναφορές και για την εφαρμογή .</w:t>
      </w:r>
    </w:p>
    <w:p w:rsidR="009D3F2B" w:rsidRDefault="009D3F2B" w:rsidP="00F53E56">
      <w:pPr>
        <w:pStyle w:val="-HTML"/>
        <w:spacing w:line="540" w:lineRule="atLeast"/>
        <w:jc w:val="both"/>
        <w:rPr>
          <w:rStyle w:val="y2iqfc"/>
          <w:rFonts w:ascii="inherit" w:hAnsi="inherit"/>
          <w:color w:val="202124"/>
          <w:sz w:val="42"/>
          <w:szCs w:val="42"/>
        </w:rPr>
      </w:pP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 </w:t>
      </w:r>
      <w:hyperlink r:id="rId11" w:history="1">
        <w:r w:rsidRPr="00F53E56">
          <w:rPr>
            <w:rStyle w:val="-"/>
            <w:rFonts w:ascii="inherit" w:hAnsi="inherit"/>
            <w:sz w:val="42"/>
            <w:szCs w:val="42"/>
          </w:rPr>
          <w:t>Η Πρόταση ΚΑΝΟΝΙΣΜΟΥ ΤΟΥ ΕΥΡΩΠΑΪΚΟΥ ΚΟΙΝΟΒΟΥΛΙΟΥ ΚΑΙ ΤΟΥ ΣΥΜΒΟΥΛΙΟΥ</w:t>
        </w:r>
      </w:hyperlink>
      <w:r>
        <w:rPr>
          <w:rStyle w:val="y2iqfc"/>
          <w:rFonts w:ascii="inherit" w:hAnsi="inherit"/>
          <w:color w:val="202124"/>
          <w:sz w:val="42"/>
          <w:szCs w:val="42"/>
        </w:rPr>
        <w:t xml:space="preserve"> για την </w:t>
      </w:r>
      <w:proofErr w:type="spellStart"/>
      <w:r>
        <w:rPr>
          <w:rStyle w:val="y2iqfc"/>
          <w:rFonts w:ascii="inherit" w:hAnsi="inherit"/>
          <w:color w:val="202124"/>
          <w:sz w:val="42"/>
          <w:szCs w:val="42"/>
        </w:rPr>
        <w:t>περιαγωγή</w:t>
      </w:r>
      <w:proofErr w:type="spellEnd"/>
      <w:r>
        <w:rPr>
          <w:rStyle w:val="y2iqfc"/>
          <w:rFonts w:ascii="inherit" w:hAnsi="inherit"/>
          <w:color w:val="202124"/>
          <w:sz w:val="42"/>
          <w:szCs w:val="42"/>
        </w:rPr>
        <w:t xml:space="preserve"> σε δημόσια δίκτυα κινητών επικοινωνιών εντός της Ένωσης (αναδιατύπωση), η οποία υπογραμμίζει τον υποστηρικτικό στόχο της Οδηγίας (ΕΕ) 2018/1972 να διασφαλίσει ότι η πρόσβαση για τελικούς χρήστες με αναπηρίες στις υπηρεσίες έκτακτης ανάγκης είναι διαθέσιμη μέσω επικοινωνιών έκτακτης ανάγκης και είναι ισοδύναμη με εκείνη που απολαμβάνουν άλλοι τελικοί χρήστες.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lastRenderedPageBreak/>
        <w:t xml:space="preserve">• </w:t>
      </w:r>
      <w:hyperlink r:id="rId12" w:history="1">
        <w:r w:rsidRPr="00F53E56">
          <w:rPr>
            <w:rStyle w:val="-"/>
            <w:rFonts w:ascii="inherit" w:hAnsi="inherit"/>
            <w:sz w:val="42"/>
            <w:szCs w:val="42"/>
          </w:rPr>
          <w:t>Το σχέδιο δράσης για την ψηφιακή εκπαίδευση (2021-2027)</w:t>
        </w:r>
      </w:hyperlink>
      <w:r>
        <w:rPr>
          <w:rStyle w:val="y2iqfc"/>
          <w:rFonts w:ascii="inherit" w:hAnsi="inherit"/>
          <w:color w:val="202124"/>
          <w:sz w:val="42"/>
          <w:szCs w:val="42"/>
        </w:rPr>
        <w:t xml:space="preserve"> είναι μια ανανεωμένη πολιτική πρωτοβουλία της Ευρωπαϊκής Ένωσης (ΕΕ) για την υποστήριξη της βιώσιμης και αποτελεσματικής προσαρμογής των συστημάτων εκπαίδευσης και κατάρτισης των κρατών μελών της ΕΕ στην ψηφιακή εποχή. Υπογραμμίζει την </w:t>
      </w:r>
      <w:proofErr w:type="spellStart"/>
      <w:r>
        <w:rPr>
          <w:rStyle w:val="y2iqfc"/>
          <w:rFonts w:ascii="inherit" w:hAnsi="inherit"/>
          <w:color w:val="202124"/>
          <w:sz w:val="42"/>
          <w:szCs w:val="42"/>
        </w:rPr>
        <w:t>προσβάσιμη</w:t>
      </w:r>
      <w:proofErr w:type="spellEnd"/>
      <w:r>
        <w:rPr>
          <w:rStyle w:val="y2iqfc"/>
          <w:rFonts w:ascii="inherit" w:hAnsi="inherit"/>
          <w:color w:val="202124"/>
          <w:sz w:val="42"/>
          <w:szCs w:val="42"/>
        </w:rPr>
        <w:t xml:space="preserve"> και χωρίς αποκλεισμούς ψηφιακή εκπαίδευση για όλους, συμπεριλαμβανομένων των μαθητών με αναπηρίες.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 </w:t>
      </w:r>
      <w:r w:rsidR="00F53E56">
        <w:rPr>
          <w:rStyle w:val="y2iqfc"/>
          <w:rFonts w:ascii="inherit" w:hAnsi="inherit"/>
          <w:color w:val="202124"/>
          <w:sz w:val="42"/>
          <w:szCs w:val="42"/>
        </w:rPr>
        <w:t xml:space="preserve">Η </w:t>
      </w:r>
      <w:hyperlink r:id="rId13" w:history="1">
        <w:r w:rsidRPr="00F53E56">
          <w:rPr>
            <w:rStyle w:val="-"/>
            <w:rFonts w:ascii="inherit" w:hAnsi="inherit"/>
            <w:sz w:val="42"/>
            <w:szCs w:val="42"/>
          </w:rPr>
          <w:t>Στρατηγική της Επιτροπής για τα Δικαιώματα των Ατόμων με Αναπηρία 2021-2030</w:t>
        </w:r>
      </w:hyperlink>
    </w:p>
    <w:p w:rsidR="00036197" w:rsidRDefault="00036197" w:rsidP="00F53E56">
      <w:pPr>
        <w:pStyle w:val="-HTML"/>
        <w:spacing w:line="540" w:lineRule="atLeast"/>
        <w:jc w:val="both"/>
        <w:rPr>
          <w:rStyle w:val="y2iqfc"/>
          <w:rFonts w:ascii="inherit" w:hAnsi="inherit"/>
          <w:color w:val="202124"/>
          <w:sz w:val="42"/>
          <w:szCs w:val="42"/>
        </w:rPr>
      </w:pPr>
    </w:p>
    <w:p w:rsidR="00036197" w:rsidRDefault="00036197" w:rsidP="00F53E56">
      <w:pPr>
        <w:pStyle w:val="-HTML"/>
        <w:spacing w:line="540" w:lineRule="atLeast"/>
        <w:jc w:val="both"/>
        <w:rPr>
          <w:rFonts w:ascii="inherit" w:hAnsi="inherit"/>
          <w:color w:val="202124"/>
          <w:sz w:val="42"/>
          <w:szCs w:val="42"/>
        </w:rPr>
      </w:pPr>
      <w:r>
        <w:rPr>
          <w:rStyle w:val="y2iqfc"/>
          <w:rFonts w:ascii="inherit" w:hAnsi="inherit"/>
          <w:color w:val="202124"/>
          <w:sz w:val="42"/>
          <w:szCs w:val="42"/>
        </w:rPr>
        <w:t>Η σελίδα παρέχει επίσης μια πλήρη λίστα προτύπων για την προσβασιμότητα των ιστοσελίδων και των εφαρμογών για φορητές συσκευές φορέων του δημόσιου τομέα, μαζί με μια παρουσίαση των αρμόδιων οργανισμών τυποποίησης.</w:t>
      </w:r>
    </w:p>
    <w:p w:rsidR="00367B5B"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Όσον αφορά τους σκύλους βοήθειας, το σχετικό πρότυπο είναι το CEN/TC 452 και παρέχει έναν ρητό ορισμό του τι είναι σκύλος </w:t>
      </w:r>
      <w:r>
        <w:rPr>
          <w:rStyle w:val="y2iqfc"/>
          <w:rFonts w:ascii="inherit" w:hAnsi="inherit"/>
          <w:color w:val="202124"/>
          <w:sz w:val="42"/>
          <w:szCs w:val="42"/>
        </w:rPr>
        <w:lastRenderedPageBreak/>
        <w:t xml:space="preserve">βοηθός και ποιοι σκύλοι μπορούν να θεωρηθούν ως τέτοιοι. </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Σύμφωνα με το πρότυπο «Οι σκύλοι βοηθείας είναι σκύλοι ειδικά εκπαιδευμένοι να εκτελούν εργασίες για τον μετριασμό των περιορισμών ενός ατόμου με αναπηρία».</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Σε αυτόν τον ορισμό περιλαμβάνονται:</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Σκύλοι βοήθειας για τον αυτισμό</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Σκύλοι οδηγοί</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 </w:t>
      </w:r>
      <w:r w:rsidR="00642259">
        <w:rPr>
          <w:rStyle w:val="y2iqfc"/>
          <w:rFonts w:ascii="inherit" w:hAnsi="inherit"/>
          <w:color w:val="202124"/>
          <w:sz w:val="42"/>
          <w:szCs w:val="42"/>
        </w:rPr>
        <w:t>Σ</w:t>
      </w:r>
      <w:r>
        <w:rPr>
          <w:rStyle w:val="y2iqfc"/>
          <w:rFonts w:ascii="inherit" w:hAnsi="inherit"/>
          <w:color w:val="202124"/>
          <w:sz w:val="42"/>
          <w:szCs w:val="42"/>
        </w:rPr>
        <w:t>κυλιά</w:t>
      </w:r>
      <w:r w:rsidR="00642259">
        <w:rPr>
          <w:rStyle w:val="y2iqfc"/>
          <w:rFonts w:ascii="inherit" w:hAnsi="inherit"/>
          <w:color w:val="202124"/>
          <w:sz w:val="42"/>
          <w:szCs w:val="42"/>
        </w:rPr>
        <w:t xml:space="preserve"> ακοής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Σκύλοι βοήθειας ιατρικής εγρήγορσης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Σκύλοι βοήθειας κινητικότητας</w:t>
      </w:r>
    </w:p>
    <w:p w:rsidR="00036197" w:rsidRDefault="00036197"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-Σκύλοι βοήθειας για </w:t>
      </w:r>
      <w:proofErr w:type="spellStart"/>
      <w:r>
        <w:rPr>
          <w:rStyle w:val="y2iqfc"/>
          <w:rFonts w:ascii="inherit" w:hAnsi="inherit"/>
          <w:color w:val="202124"/>
          <w:sz w:val="42"/>
          <w:szCs w:val="42"/>
        </w:rPr>
        <w:t>μετατραυματικές</w:t>
      </w:r>
      <w:proofErr w:type="spellEnd"/>
      <w:r>
        <w:rPr>
          <w:rStyle w:val="y2iqfc"/>
          <w:rFonts w:ascii="inherit" w:hAnsi="inherit"/>
          <w:color w:val="202124"/>
          <w:sz w:val="42"/>
          <w:szCs w:val="42"/>
        </w:rPr>
        <w:t xml:space="preserve"> διαταραχές</w:t>
      </w:r>
    </w:p>
    <w:p w:rsidR="00036197" w:rsidRDefault="00036197" w:rsidP="00F53E56">
      <w:pPr>
        <w:pStyle w:val="-HTML"/>
        <w:spacing w:line="540" w:lineRule="atLeast"/>
        <w:jc w:val="both"/>
        <w:rPr>
          <w:rFonts w:ascii="inherit" w:hAnsi="inherit"/>
          <w:color w:val="202124"/>
          <w:sz w:val="42"/>
          <w:szCs w:val="42"/>
        </w:rPr>
      </w:pPr>
      <w:r>
        <w:rPr>
          <w:rStyle w:val="y2iqfc"/>
          <w:rFonts w:ascii="inherit" w:hAnsi="inherit"/>
          <w:color w:val="202124"/>
          <w:sz w:val="42"/>
          <w:szCs w:val="42"/>
        </w:rPr>
        <w:t xml:space="preserve">Η ιδέα του </w:t>
      </w:r>
      <w:proofErr w:type="spellStart"/>
      <w:r>
        <w:rPr>
          <w:rStyle w:val="y2iqfc"/>
          <w:rFonts w:ascii="inherit" w:hAnsi="inherit"/>
          <w:color w:val="202124"/>
          <w:sz w:val="42"/>
          <w:szCs w:val="42"/>
        </w:rPr>
        <w:t>Universal</w:t>
      </w:r>
      <w:proofErr w:type="spellEnd"/>
      <w:r>
        <w:rPr>
          <w:rStyle w:val="y2iqfc"/>
          <w:rFonts w:ascii="inherit" w:hAnsi="inherit"/>
          <w:color w:val="202124"/>
          <w:sz w:val="42"/>
          <w:szCs w:val="42"/>
        </w:rPr>
        <w:t xml:space="preserve"> </w:t>
      </w:r>
      <w:proofErr w:type="spellStart"/>
      <w:r>
        <w:rPr>
          <w:rStyle w:val="y2iqfc"/>
          <w:rFonts w:ascii="inherit" w:hAnsi="inherit"/>
          <w:color w:val="202124"/>
          <w:sz w:val="42"/>
          <w:szCs w:val="42"/>
        </w:rPr>
        <w:t>Design</w:t>
      </w:r>
      <w:proofErr w:type="spellEnd"/>
      <w:r>
        <w:rPr>
          <w:rStyle w:val="y2iqfc"/>
          <w:rFonts w:ascii="inherit" w:hAnsi="inherit"/>
          <w:color w:val="202124"/>
          <w:sz w:val="42"/>
          <w:szCs w:val="42"/>
        </w:rPr>
        <w:t xml:space="preserve"> (UD) εισήχθη στο δεύτερο μισό του 20ου αιώνα από τον αρχιτέκτονα </w:t>
      </w:r>
      <w:proofErr w:type="spellStart"/>
      <w:r>
        <w:rPr>
          <w:rStyle w:val="y2iqfc"/>
          <w:rFonts w:ascii="inherit" w:hAnsi="inherit"/>
          <w:color w:val="202124"/>
          <w:sz w:val="42"/>
          <w:szCs w:val="42"/>
        </w:rPr>
        <w:t>Ronald</w:t>
      </w:r>
      <w:proofErr w:type="spellEnd"/>
      <w:r>
        <w:rPr>
          <w:rStyle w:val="y2iqfc"/>
          <w:rFonts w:ascii="inherit" w:hAnsi="inherit"/>
          <w:color w:val="202124"/>
          <w:sz w:val="42"/>
          <w:szCs w:val="42"/>
        </w:rPr>
        <w:t xml:space="preserve"> </w:t>
      </w:r>
      <w:proofErr w:type="spellStart"/>
      <w:r>
        <w:rPr>
          <w:rStyle w:val="y2iqfc"/>
          <w:rFonts w:ascii="inherit" w:hAnsi="inherit"/>
          <w:color w:val="202124"/>
          <w:sz w:val="42"/>
          <w:szCs w:val="42"/>
        </w:rPr>
        <w:t>Mace</w:t>
      </w:r>
      <w:proofErr w:type="spellEnd"/>
      <w:r>
        <w:rPr>
          <w:rStyle w:val="y2iqfc"/>
          <w:rFonts w:ascii="inherit" w:hAnsi="inherit"/>
          <w:color w:val="202124"/>
          <w:sz w:val="42"/>
          <w:szCs w:val="42"/>
        </w:rPr>
        <w:t xml:space="preserve"> – χρήστη αναπηρικού </w:t>
      </w:r>
      <w:proofErr w:type="spellStart"/>
      <w:r>
        <w:rPr>
          <w:rStyle w:val="y2iqfc"/>
          <w:rFonts w:ascii="inherit" w:hAnsi="inherit"/>
          <w:color w:val="202124"/>
          <w:sz w:val="42"/>
          <w:szCs w:val="42"/>
        </w:rPr>
        <w:t>αμαξιδίου</w:t>
      </w:r>
      <w:proofErr w:type="spellEnd"/>
      <w:r>
        <w:rPr>
          <w:rStyle w:val="y2iqfc"/>
          <w:rFonts w:ascii="inherit" w:hAnsi="inherit"/>
          <w:color w:val="202124"/>
          <w:sz w:val="42"/>
          <w:szCs w:val="42"/>
        </w:rPr>
        <w:t xml:space="preserve">, αγωνιζόμενος για τα δικαιώματα των ατόμων με αναπηρία σε μια εποχή που τα άτομα με αναπηρίες δεν θεωρούνταν ακόμα φυσιολογικά ή/και αξίζουν προσαρμογές προκειμένου να έχουν ίση πρόσβαση με όλους τους άλλους. Στην αρχική του εφαρμογή, το UD περιγράφηκε ως «ο σχεδιασμός προϊόντων και περιβαλλόντων </w:t>
      </w:r>
      <w:r>
        <w:rPr>
          <w:rStyle w:val="y2iqfc"/>
          <w:rFonts w:ascii="inherit" w:hAnsi="inherit"/>
          <w:color w:val="202124"/>
          <w:sz w:val="42"/>
          <w:szCs w:val="42"/>
        </w:rPr>
        <w:lastRenderedPageBreak/>
        <w:t>που μπορούν να χρησιμοποιηθούν από όλους τους ανθρώπους, στο μέγιστο δυνατό βαθμό, χωρίς την ανάγκη προσαρμογής ή εξειδικευμένου σχεδιασμού» (</w:t>
      </w:r>
      <w:proofErr w:type="spellStart"/>
      <w:r>
        <w:rPr>
          <w:rStyle w:val="y2iqfc"/>
          <w:rFonts w:ascii="inherit" w:hAnsi="inherit"/>
          <w:color w:val="202124"/>
          <w:sz w:val="42"/>
          <w:szCs w:val="42"/>
        </w:rPr>
        <w:t>Connell</w:t>
      </w:r>
      <w:proofErr w:type="spellEnd"/>
      <w:r>
        <w:rPr>
          <w:rStyle w:val="y2iqfc"/>
          <w:rFonts w:ascii="inherit" w:hAnsi="inherit"/>
          <w:color w:val="202124"/>
          <w:sz w:val="42"/>
          <w:szCs w:val="42"/>
        </w:rPr>
        <w:t xml:space="preserve"> </w:t>
      </w:r>
      <w:proofErr w:type="spellStart"/>
      <w:r>
        <w:rPr>
          <w:rStyle w:val="y2iqfc"/>
          <w:rFonts w:ascii="inherit" w:hAnsi="inherit"/>
          <w:color w:val="202124"/>
          <w:sz w:val="42"/>
          <w:szCs w:val="42"/>
        </w:rPr>
        <w:t>et</w:t>
      </w:r>
      <w:proofErr w:type="spellEnd"/>
      <w:r>
        <w:rPr>
          <w:rStyle w:val="y2iqfc"/>
          <w:rFonts w:ascii="inherit" w:hAnsi="inherit"/>
          <w:color w:val="202124"/>
          <w:sz w:val="42"/>
          <w:szCs w:val="42"/>
        </w:rPr>
        <w:t xml:space="preserve"> </w:t>
      </w:r>
      <w:proofErr w:type="spellStart"/>
      <w:r>
        <w:rPr>
          <w:rStyle w:val="y2iqfc"/>
          <w:rFonts w:ascii="inherit" w:hAnsi="inherit"/>
          <w:color w:val="202124"/>
          <w:sz w:val="42"/>
          <w:szCs w:val="42"/>
        </w:rPr>
        <w:t>al</w:t>
      </w:r>
      <w:proofErr w:type="spellEnd"/>
      <w:r>
        <w:rPr>
          <w:rStyle w:val="y2iqfc"/>
          <w:rFonts w:ascii="inherit" w:hAnsi="inherit"/>
          <w:color w:val="202124"/>
          <w:sz w:val="42"/>
          <w:szCs w:val="42"/>
        </w:rPr>
        <w:t xml:space="preserve">., 1997). Ακριβώς όπως οι σκάλες ή οι περιστρεφόμενες πόρτες θέτουν εμπόδια στην πρόσβαση στο δομημένο περιβάλλον, υπάρχουν εμπόδια στη μάθηση ή στην πρόσβαση σε πληροφορίες. Αυτό σημαίνει ότι χρειαζόμαστε μια προσέγγιση «Σχεδιασμός για Όλους» που φροντίζει για την προσβασιμότητα τόσο του δομημένου περιβάλλοντος, όσο και των ΤΠΕ και των πληροφοριών. Τα ευρωπαϊκά πρότυπα προσβασιμότητας έχουν τεθεί σε εφαρμογή ακριβώς για αυτόν τον σκοπό. Το Ευρωπαϊκό Πρότυπο </w:t>
      </w:r>
      <w:hyperlink r:id="rId14" w:history="1">
        <w:r w:rsidRPr="00F53E56">
          <w:rPr>
            <w:rStyle w:val="-"/>
            <w:rFonts w:ascii="inherit" w:hAnsi="inherit"/>
            <w:sz w:val="42"/>
            <w:szCs w:val="42"/>
          </w:rPr>
          <w:t xml:space="preserve">EN 17161:2019 «Σχεδιασμός για όλους – Προσβασιμότητα μετά από προσέγγιση </w:t>
        </w:r>
        <w:r w:rsidR="00CC75A1" w:rsidRPr="00F53E56">
          <w:rPr>
            <w:rStyle w:val="-"/>
            <w:rFonts w:ascii="inherit" w:hAnsi="inherit"/>
            <w:sz w:val="42"/>
            <w:szCs w:val="42"/>
          </w:rPr>
          <w:t>«</w:t>
        </w:r>
        <w:r w:rsidRPr="00F53E56">
          <w:rPr>
            <w:rStyle w:val="-"/>
            <w:rFonts w:ascii="inherit" w:hAnsi="inherit"/>
            <w:sz w:val="42"/>
            <w:szCs w:val="42"/>
          </w:rPr>
          <w:t>Σχεδιασμός για Όλους σε προϊόντα, αγαθά και υπηρεσίες – Επέκταση του εύρους των χρηστών»</w:t>
        </w:r>
      </w:hyperlink>
      <w:r>
        <w:rPr>
          <w:rStyle w:val="y2iqfc"/>
          <w:rFonts w:ascii="inherit" w:hAnsi="inherit"/>
          <w:color w:val="202124"/>
          <w:sz w:val="42"/>
          <w:szCs w:val="42"/>
        </w:rPr>
        <w:t xml:space="preserve"> είναι ιδιαίτερα σημαντικό καθώς καθορίζει απαιτήσεις που μπορούν να επιτρέψουν στους οργανισμούς να σχεδιάσουν, να αναπτύξουν και να παρέχουν προϊόντα, αγαθά και υπηρεσίες που </w:t>
      </w:r>
      <w:r>
        <w:rPr>
          <w:rStyle w:val="y2iqfc"/>
          <w:rFonts w:ascii="inherit" w:hAnsi="inherit"/>
          <w:color w:val="202124"/>
          <w:sz w:val="42"/>
          <w:szCs w:val="42"/>
        </w:rPr>
        <w:lastRenderedPageBreak/>
        <w:t xml:space="preserve">είναι </w:t>
      </w:r>
      <w:proofErr w:type="spellStart"/>
      <w:r>
        <w:rPr>
          <w:rStyle w:val="y2iqfc"/>
          <w:rFonts w:ascii="inherit" w:hAnsi="inherit"/>
          <w:color w:val="202124"/>
          <w:sz w:val="42"/>
          <w:szCs w:val="42"/>
        </w:rPr>
        <w:t>προσβάσιμες</w:t>
      </w:r>
      <w:proofErr w:type="spellEnd"/>
      <w:r>
        <w:rPr>
          <w:rStyle w:val="y2iqfc"/>
          <w:rFonts w:ascii="inherit" w:hAnsi="inherit"/>
          <w:color w:val="202124"/>
          <w:sz w:val="42"/>
          <w:szCs w:val="42"/>
        </w:rPr>
        <w:t xml:space="preserve"> σε μεγάλη ποικιλία χρηστών, συμπεριλαμβανομένων των ατόμων με αναπηρία. Η προσέγγιση Σχεδιασμός για Όλους που ορίζεται από το Πρότυπο μπορεί να χρησιμοποιηθεί τόσο από ιδιωτικούς όσο και από δημόσιους οργανισμούς.</w:t>
      </w:r>
    </w:p>
    <w:p w:rsidR="00417F43" w:rsidRDefault="00CC75A1"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Μ</w:t>
      </w:r>
      <w:r w:rsidR="00417F43">
        <w:rPr>
          <w:rStyle w:val="y2iqfc"/>
          <w:rFonts w:ascii="inherit" w:hAnsi="inherit"/>
          <w:color w:val="202124"/>
          <w:sz w:val="42"/>
          <w:szCs w:val="42"/>
        </w:rPr>
        <w:t xml:space="preserve">πορεί επίσης να είναι χρήσιμο για τους οργανισμούς να συμμορφωθούν με τον πρόσφατα εγκριθέντα ευρωπαϊκό νόμο για την προσβασιμότητα - </w:t>
      </w:r>
      <w:hyperlink r:id="rId15" w:history="1">
        <w:r w:rsidR="00F53E56" w:rsidRPr="00196C56">
          <w:rPr>
            <w:rStyle w:val="-"/>
            <w:rFonts w:ascii="inherit" w:hAnsi="inherit"/>
            <w:sz w:val="42"/>
            <w:szCs w:val="42"/>
          </w:rPr>
          <w:t>https://eur-lex.europa.eu/legal-content/EN/TXT/?uri=CELEX%3A32019L0882</w:t>
        </w:r>
      </w:hyperlink>
      <w:r w:rsidR="00F53E56">
        <w:rPr>
          <w:rStyle w:val="y2iqfc"/>
          <w:rFonts w:ascii="inherit" w:hAnsi="inherit"/>
          <w:color w:val="202124"/>
          <w:sz w:val="42"/>
          <w:szCs w:val="42"/>
        </w:rPr>
        <w:t xml:space="preserve"> </w:t>
      </w:r>
      <w:r w:rsidR="00417F43">
        <w:rPr>
          <w:rStyle w:val="y2iqfc"/>
          <w:rFonts w:ascii="inherit" w:hAnsi="inherit"/>
          <w:color w:val="202124"/>
          <w:sz w:val="42"/>
          <w:szCs w:val="42"/>
        </w:rPr>
        <w:t xml:space="preserve">, και θεωρείται από τις δημόσιες αρχές ως κριτήριο επιλογής για τις δημόσιες συμβάσεις. Αυτό σημαίνει ότι περισσότερες εταιρείες που παρέχουν αγαθά και υπηρεσίες θα ενθαρρυνθούν να ακολουθήσουν μια προσέγγιση </w:t>
      </w:r>
      <w:proofErr w:type="spellStart"/>
      <w:r w:rsidR="00417F43">
        <w:rPr>
          <w:rStyle w:val="y2iqfc"/>
          <w:rFonts w:ascii="inherit" w:hAnsi="inherit"/>
          <w:color w:val="202124"/>
          <w:sz w:val="42"/>
          <w:szCs w:val="42"/>
        </w:rPr>
        <w:t>Design</w:t>
      </w:r>
      <w:proofErr w:type="spellEnd"/>
      <w:r w:rsidR="00417F43">
        <w:rPr>
          <w:rStyle w:val="y2iqfc"/>
          <w:rFonts w:ascii="inherit" w:hAnsi="inherit"/>
          <w:color w:val="202124"/>
          <w:sz w:val="42"/>
          <w:szCs w:val="42"/>
        </w:rPr>
        <w:t xml:space="preserve"> </w:t>
      </w:r>
      <w:proofErr w:type="spellStart"/>
      <w:r w:rsidR="00417F43">
        <w:rPr>
          <w:rStyle w:val="y2iqfc"/>
          <w:rFonts w:ascii="inherit" w:hAnsi="inherit"/>
          <w:color w:val="202124"/>
          <w:sz w:val="42"/>
          <w:szCs w:val="42"/>
        </w:rPr>
        <w:t>for</w:t>
      </w:r>
      <w:proofErr w:type="spellEnd"/>
      <w:r w:rsidR="00417F43">
        <w:rPr>
          <w:rStyle w:val="y2iqfc"/>
          <w:rFonts w:ascii="inherit" w:hAnsi="inherit"/>
          <w:color w:val="202124"/>
          <w:sz w:val="42"/>
          <w:szCs w:val="42"/>
        </w:rPr>
        <w:t xml:space="preserve"> </w:t>
      </w:r>
      <w:proofErr w:type="spellStart"/>
      <w:r w:rsidR="00417F43">
        <w:rPr>
          <w:rStyle w:val="y2iqfc"/>
          <w:rFonts w:ascii="inherit" w:hAnsi="inherit"/>
          <w:color w:val="202124"/>
          <w:sz w:val="42"/>
          <w:szCs w:val="42"/>
        </w:rPr>
        <w:t>All</w:t>
      </w:r>
      <w:proofErr w:type="spellEnd"/>
      <w:r w:rsidR="00417F43">
        <w:rPr>
          <w:rStyle w:val="y2iqfc"/>
          <w:rFonts w:ascii="inherit" w:hAnsi="inherit"/>
          <w:color w:val="202124"/>
          <w:sz w:val="42"/>
          <w:szCs w:val="42"/>
        </w:rPr>
        <w:t>, η οποία στο τέλος θα ωφελήσει τους καταναλωτές και τους χρήστες με αναπηρίες.</w:t>
      </w:r>
    </w:p>
    <w:p w:rsidR="00417F43" w:rsidRDefault="00417F43" w:rsidP="00F53E56">
      <w:pPr>
        <w:pStyle w:val="-HTML"/>
        <w:spacing w:line="540" w:lineRule="atLeast"/>
        <w:jc w:val="both"/>
        <w:rPr>
          <w:rStyle w:val="y2iqfc"/>
          <w:rFonts w:ascii="inherit" w:hAnsi="inherit"/>
          <w:color w:val="202124"/>
          <w:sz w:val="42"/>
          <w:szCs w:val="42"/>
        </w:rPr>
      </w:pPr>
    </w:p>
    <w:p w:rsidR="00CC75A1" w:rsidRDefault="00417F43" w:rsidP="00F53E56">
      <w:pPr>
        <w:pStyle w:val="-HTML"/>
        <w:spacing w:line="540" w:lineRule="atLeast"/>
        <w:jc w:val="both"/>
        <w:rPr>
          <w:rStyle w:val="y2iqfc"/>
          <w:rFonts w:ascii="inherit" w:hAnsi="inherit"/>
          <w:color w:val="202124"/>
          <w:sz w:val="42"/>
          <w:szCs w:val="42"/>
        </w:rPr>
      </w:pPr>
      <w:r>
        <w:rPr>
          <w:rStyle w:val="y2iqfc"/>
          <w:rFonts w:ascii="inherit" w:hAnsi="inherit"/>
          <w:color w:val="202124"/>
          <w:sz w:val="42"/>
          <w:szCs w:val="42"/>
        </w:rPr>
        <w:t xml:space="preserve">Μια εξαιρετική και λεπτομερής περιγραφή των δικαιωμάτων των ατόμων με αναπηρία παρέχεται στον </w:t>
      </w:r>
      <w:proofErr w:type="spellStart"/>
      <w:r>
        <w:rPr>
          <w:rStyle w:val="y2iqfc"/>
          <w:rFonts w:ascii="inherit" w:hAnsi="inherit"/>
          <w:color w:val="202124"/>
          <w:sz w:val="42"/>
          <w:szCs w:val="42"/>
        </w:rPr>
        <w:t>ιστότοπο</w:t>
      </w:r>
      <w:proofErr w:type="spellEnd"/>
      <w:r>
        <w:rPr>
          <w:rStyle w:val="y2iqfc"/>
          <w:rFonts w:ascii="inherit" w:hAnsi="inherit"/>
          <w:color w:val="202124"/>
          <w:sz w:val="42"/>
          <w:szCs w:val="42"/>
        </w:rPr>
        <w:t xml:space="preserve"> του Ευρωπαϊκού Φόρουμ για την Αναπηρία: </w:t>
      </w:r>
    </w:p>
    <w:p w:rsidR="00417F43" w:rsidRDefault="004E2A0E" w:rsidP="00F53E56">
      <w:pPr>
        <w:pStyle w:val="-HTML"/>
        <w:spacing w:line="540" w:lineRule="atLeast"/>
        <w:jc w:val="both"/>
        <w:rPr>
          <w:rStyle w:val="y2iqfc"/>
          <w:rFonts w:ascii="inherit" w:hAnsi="inherit"/>
          <w:color w:val="202124"/>
          <w:sz w:val="42"/>
          <w:szCs w:val="42"/>
        </w:rPr>
      </w:pPr>
      <w:hyperlink r:id="rId16" w:history="1">
        <w:r w:rsidR="00CC75A1" w:rsidRPr="0018747E">
          <w:rPr>
            <w:rStyle w:val="-"/>
            <w:rFonts w:ascii="inherit" w:hAnsi="inherit"/>
            <w:sz w:val="42"/>
            <w:szCs w:val="42"/>
          </w:rPr>
          <w:t>https://www.edf-feph.org/your-rights-in-the-eu/</w:t>
        </w:r>
      </w:hyperlink>
    </w:p>
    <w:p w:rsidR="00CC75A1" w:rsidRDefault="00CC75A1" w:rsidP="00F53E56">
      <w:pPr>
        <w:pStyle w:val="-HTML"/>
        <w:spacing w:line="540" w:lineRule="atLeast"/>
        <w:jc w:val="both"/>
        <w:rPr>
          <w:rStyle w:val="y2iqfc"/>
          <w:rFonts w:ascii="inherit" w:hAnsi="inherit"/>
          <w:color w:val="202124"/>
          <w:sz w:val="42"/>
          <w:szCs w:val="42"/>
        </w:rPr>
      </w:pPr>
    </w:p>
    <w:p w:rsidR="00417F43" w:rsidRDefault="00417F43" w:rsidP="00F53E56">
      <w:pPr>
        <w:pStyle w:val="-HTML"/>
        <w:spacing w:line="540" w:lineRule="atLeast"/>
        <w:jc w:val="both"/>
        <w:rPr>
          <w:rFonts w:ascii="inherit" w:hAnsi="inherit"/>
          <w:color w:val="202124"/>
          <w:sz w:val="42"/>
          <w:szCs w:val="42"/>
        </w:rPr>
      </w:pPr>
      <w:r>
        <w:rPr>
          <w:rStyle w:val="y2iqfc"/>
          <w:rFonts w:ascii="inherit" w:hAnsi="inherit"/>
          <w:color w:val="202124"/>
          <w:sz w:val="42"/>
          <w:szCs w:val="42"/>
        </w:rPr>
        <w:t>Μεταξύ αυτών είναι: προσβασιμότητα σε δημόσιες και ιδιωτικές υπηρεσίες, εκλογικά δικαιώματα, δικαιώματα στην απασχόληση και ίση μεταχείριση, δικαιώματα υγειονομικής περίθαλψης (στη χώρα προέλευσης και στο εξωτερικό εντός της ΕΕ), δικαιώματα εκπαίδευσης, πρακτικής άσκησης και εθελοντισμού, δικαιώματα επιβατών και καταναλωτών (ιδίως σε άλλη χώρα της ΕΕ), παροχές κοινωνικής ασφάλισης και άλλα.</w:t>
      </w:r>
    </w:p>
    <w:p w:rsidR="00417F43" w:rsidRPr="00417F43" w:rsidRDefault="00417F43" w:rsidP="00F53E56">
      <w:pPr>
        <w:spacing w:before="277"/>
        <w:ind w:right="513"/>
        <w:rPr>
          <w:rFonts w:ascii="Calibri" w:eastAsia="Times New Roman" w:hAnsi="Calibri" w:cs="Calibri"/>
          <w:lang w:val="en-US" w:eastAsia="el-GR"/>
        </w:rPr>
      </w:pPr>
      <w:r>
        <w:rPr>
          <w:rFonts w:ascii="Calibri" w:eastAsia="Times New Roman" w:hAnsi="Calibri" w:cs="Calibri"/>
          <w:color w:val="000000"/>
          <w:sz w:val="28"/>
          <w:szCs w:val="28"/>
          <w:lang w:eastAsia="el-GR"/>
        </w:rPr>
        <w:t>ΒΙΒΛΙΟΓΡΑΦΙΑ</w:t>
      </w:r>
    </w:p>
    <w:p w:rsidR="00417F43" w:rsidRPr="00417F43" w:rsidRDefault="00417F43" w:rsidP="00F53E56">
      <w:pPr>
        <w:spacing w:before="277"/>
        <w:ind w:right="513"/>
        <w:jc w:val="both"/>
        <w:rPr>
          <w:rFonts w:ascii="Times New Roman" w:eastAsia="Times New Roman" w:hAnsi="Times New Roman" w:cs="Times New Roman"/>
          <w:lang w:val="en-US" w:eastAsia="el-GR"/>
        </w:rPr>
      </w:pPr>
      <w:r w:rsidRPr="00417F43">
        <w:rPr>
          <w:rFonts w:ascii="Lucida Sans" w:eastAsia="Times New Roman" w:hAnsi="Lucida Sans" w:cs="Times New Roman"/>
          <w:color w:val="000000"/>
          <w:sz w:val="28"/>
          <w:szCs w:val="28"/>
          <w:lang w:val="en-US" w:eastAsia="el-GR"/>
        </w:rPr>
        <w:t xml:space="preserve">Connell, B. R., Jones, M., Mace, R., Mueller, J., </w:t>
      </w:r>
      <w:proofErr w:type="spellStart"/>
      <w:r w:rsidRPr="00417F43">
        <w:rPr>
          <w:rFonts w:ascii="Lucida Sans" w:eastAsia="Times New Roman" w:hAnsi="Lucida Sans" w:cs="Times New Roman"/>
          <w:color w:val="000000"/>
          <w:sz w:val="28"/>
          <w:szCs w:val="28"/>
          <w:lang w:val="en-US" w:eastAsia="el-GR"/>
        </w:rPr>
        <w:t>Mullick</w:t>
      </w:r>
      <w:proofErr w:type="spellEnd"/>
      <w:r w:rsidRPr="00417F43">
        <w:rPr>
          <w:rFonts w:ascii="Lucida Sans" w:eastAsia="Times New Roman" w:hAnsi="Lucida Sans" w:cs="Times New Roman"/>
          <w:color w:val="000000"/>
          <w:sz w:val="28"/>
          <w:szCs w:val="28"/>
          <w:lang w:val="en-US" w:eastAsia="el-GR"/>
        </w:rPr>
        <w:t xml:space="preserve">, A., </w:t>
      </w:r>
      <w:proofErr w:type="spellStart"/>
      <w:r w:rsidRPr="00417F43">
        <w:rPr>
          <w:rFonts w:ascii="Lucida Sans" w:eastAsia="Times New Roman" w:hAnsi="Lucida Sans" w:cs="Times New Roman"/>
          <w:color w:val="000000"/>
          <w:sz w:val="28"/>
          <w:szCs w:val="28"/>
          <w:lang w:val="en-US" w:eastAsia="el-GR"/>
        </w:rPr>
        <w:t>Ostroff</w:t>
      </w:r>
      <w:proofErr w:type="spellEnd"/>
      <w:r w:rsidRPr="00417F43">
        <w:rPr>
          <w:rFonts w:ascii="Lucida Sans" w:eastAsia="Times New Roman" w:hAnsi="Lucida Sans" w:cs="Times New Roman"/>
          <w:color w:val="000000"/>
          <w:sz w:val="28"/>
          <w:szCs w:val="28"/>
          <w:lang w:val="en-US" w:eastAsia="el-GR"/>
        </w:rPr>
        <w:t>, E., et al. (1997). The principles of universal design. Retrieved February 24, 2006, from http://design.ncsu.edu/cud/univ_design/principles/udprinciples.htm</w:t>
      </w:r>
    </w:p>
    <w:p w:rsidR="00417F43" w:rsidRPr="00417F43" w:rsidRDefault="00417F43" w:rsidP="00F53E56">
      <w:pPr>
        <w:rPr>
          <w:rFonts w:ascii="Times New Roman" w:eastAsia="Times New Roman" w:hAnsi="Times New Roman" w:cs="Times New Roman"/>
          <w:lang w:val="en-US" w:eastAsia="el-GR"/>
        </w:rPr>
      </w:pPr>
    </w:p>
    <w:p w:rsidR="00036197" w:rsidRPr="00417F43" w:rsidRDefault="00036197" w:rsidP="00F53E56">
      <w:pPr>
        <w:pStyle w:val="-HTML"/>
        <w:spacing w:line="540" w:lineRule="atLeast"/>
        <w:rPr>
          <w:rFonts w:ascii="inherit" w:hAnsi="inherit"/>
          <w:color w:val="202124"/>
          <w:sz w:val="42"/>
          <w:szCs w:val="42"/>
          <w:lang w:val="en-US"/>
        </w:rPr>
      </w:pPr>
    </w:p>
    <w:p w:rsidR="00036197" w:rsidRPr="00417F43" w:rsidRDefault="00036197" w:rsidP="00F53E56">
      <w:pPr>
        <w:rPr>
          <w:lang w:val="en-US"/>
        </w:rPr>
      </w:pPr>
    </w:p>
    <w:sectPr w:rsidR="00036197" w:rsidRPr="00417F43" w:rsidSect="004E2A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52AEF"/>
    <w:rsid w:val="000208BF"/>
    <w:rsid w:val="00036197"/>
    <w:rsid w:val="002942C4"/>
    <w:rsid w:val="00367B5B"/>
    <w:rsid w:val="00417F43"/>
    <w:rsid w:val="004E2A0E"/>
    <w:rsid w:val="00642259"/>
    <w:rsid w:val="009D3F2B"/>
    <w:rsid w:val="00B52AEF"/>
    <w:rsid w:val="00C734FB"/>
    <w:rsid w:val="00CC75A1"/>
    <w:rsid w:val="00F53E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03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36197"/>
    <w:rPr>
      <w:rFonts w:ascii="Courier New" w:eastAsia="Times New Roman" w:hAnsi="Courier New" w:cs="Courier New"/>
      <w:sz w:val="20"/>
      <w:szCs w:val="20"/>
      <w:lang w:eastAsia="el-GR"/>
    </w:rPr>
  </w:style>
  <w:style w:type="character" w:customStyle="1" w:styleId="y2iqfc">
    <w:name w:val="y2iqfc"/>
    <w:basedOn w:val="a0"/>
    <w:rsid w:val="00036197"/>
  </w:style>
  <w:style w:type="paragraph" w:styleId="Web">
    <w:name w:val="Normal (Web)"/>
    <w:basedOn w:val="a"/>
    <w:uiPriority w:val="99"/>
    <w:semiHidden/>
    <w:unhideWhenUsed/>
    <w:rsid w:val="00417F43"/>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C734FB"/>
    <w:rPr>
      <w:color w:val="0563C1" w:themeColor="hyperlink"/>
      <w:u w:val="single"/>
    </w:rPr>
  </w:style>
  <w:style w:type="character" w:customStyle="1" w:styleId="UnresolvedMention">
    <w:name w:val="Unresolved Mention"/>
    <w:basedOn w:val="a0"/>
    <w:uiPriority w:val="99"/>
    <w:semiHidden/>
    <w:unhideWhenUsed/>
    <w:rsid w:val="00C734F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427300">
      <w:bodyDiv w:val="1"/>
      <w:marLeft w:val="0"/>
      <w:marRight w:val="0"/>
      <w:marTop w:val="0"/>
      <w:marBottom w:val="0"/>
      <w:divBdr>
        <w:top w:val="none" w:sz="0" w:space="0" w:color="auto"/>
        <w:left w:val="none" w:sz="0" w:space="0" w:color="auto"/>
        <w:bottom w:val="none" w:sz="0" w:space="0" w:color="auto"/>
        <w:right w:val="none" w:sz="0" w:space="0" w:color="auto"/>
      </w:divBdr>
    </w:div>
    <w:div w:id="108398554">
      <w:bodyDiv w:val="1"/>
      <w:marLeft w:val="0"/>
      <w:marRight w:val="0"/>
      <w:marTop w:val="0"/>
      <w:marBottom w:val="0"/>
      <w:divBdr>
        <w:top w:val="none" w:sz="0" w:space="0" w:color="auto"/>
        <w:left w:val="none" w:sz="0" w:space="0" w:color="auto"/>
        <w:bottom w:val="none" w:sz="0" w:space="0" w:color="auto"/>
        <w:right w:val="none" w:sz="0" w:space="0" w:color="auto"/>
      </w:divBdr>
    </w:div>
    <w:div w:id="324435411">
      <w:bodyDiv w:val="1"/>
      <w:marLeft w:val="0"/>
      <w:marRight w:val="0"/>
      <w:marTop w:val="0"/>
      <w:marBottom w:val="0"/>
      <w:divBdr>
        <w:top w:val="none" w:sz="0" w:space="0" w:color="auto"/>
        <w:left w:val="none" w:sz="0" w:space="0" w:color="auto"/>
        <w:bottom w:val="none" w:sz="0" w:space="0" w:color="auto"/>
        <w:right w:val="none" w:sz="0" w:space="0" w:color="auto"/>
      </w:divBdr>
    </w:div>
    <w:div w:id="617682382">
      <w:bodyDiv w:val="1"/>
      <w:marLeft w:val="0"/>
      <w:marRight w:val="0"/>
      <w:marTop w:val="0"/>
      <w:marBottom w:val="0"/>
      <w:divBdr>
        <w:top w:val="none" w:sz="0" w:space="0" w:color="auto"/>
        <w:left w:val="none" w:sz="0" w:space="0" w:color="auto"/>
        <w:bottom w:val="none" w:sz="0" w:space="0" w:color="auto"/>
        <w:right w:val="none" w:sz="0" w:space="0" w:color="auto"/>
      </w:divBdr>
    </w:div>
    <w:div w:id="651904891">
      <w:bodyDiv w:val="1"/>
      <w:marLeft w:val="0"/>
      <w:marRight w:val="0"/>
      <w:marTop w:val="0"/>
      <w:marBottom w:val="0"/>
      <w:divBdr>
        <w:top w:val="none" w:sz="0" w:space="0" w:color="auto"/>
        <w:left w:val="none" w:sz="0" w:space="0" w:color="auto"/>
        <w:bottom w:val="none" w:sz="0" w:space="0" w:color="auto"/>
        <w:right w:val="none" w:sz="0" w:space="0" w:color="auto"/>
      </w:divBdr>
    </w:div>
    <w:div w:id="730231395">
      <w:bodyDiv w:val="1"/>
      <w:marLeft w:val="0"/>
      <w:marRight w:val="0"/>
      <w:marTop w:val="0"/>
      <w:marBottom w:val="0"/>
      <w:divBdr>
        <w:top w:val="none" w:sz="0" w:space="0" w:color="auto"/>
        <w:left w:val="none" w:sz="0" w:space="0" w:color="auto"/>
        <w:bottom w:val="none" w:sz="0" w:space="0" w:color="auto"/>
        <w:right w:val="none" w:sz="0" w:space="0" w:color="auto"/>
      </w:divBdr>
    </w:div>
    <w:div w:id="794906758">
      <w:bodyDiv w:val="1"/>
      <w:marLeft w:val="0"/>
      <w:marRight w:val="0"/>
      <w:marTop w:val="0"/>
      <w:marBottom w:val="0"/>
      <w:divBdr>
        <w:top w:val="none" w:sz="0" w:space="0" w:color="auto"/>
        <w:left w:val="none" w:sz="0" w:space="0" w:color="auto"/>
        <w:bottom w:val="none" w:sz="0" w:space="0" w:color="auto"/>
        <w:right w:val="none" w:sz="0" w:space="0" w:color="auto"/>
      </w:divBdr>
      <w:divsChild>
        <w:div w:id="3482406">
          <w:marLeft w:val="0"/>
          <w:marRight w:val="0"/>
          <w:marTop w:val="0"/>
          <w:marBottom w:val="0"/>
          <w:divBdr>
            <w:top w:val="none" w:sz="0" w:space="0" w:color="auto"/>
            <w:left w:val="none" w:sz="0" w:space="0" w:color="auto"/>
            <w:bottom w:val="none" w:sz="0" w:space="0" w:color="auto"/>
            <w:right w:val="none" w:sz="0" w:space="0" w:color="auto"/>
          </w:divBdr>
        </w:div>
        <w:div w:id="38281633">
          <w:marLeft w:val="0"/>
          <w:marRight w:val="0"/>
          <w:marTop w:val="0"/>
          <w:marBottom w:val="0"/>
          <w:divBdr>
            <w:top w:val="none" w:sz="0" w:space="0" w:color="auto"/>
            <w:left w:val="none" w:sz="0" w:space="0" w:color="auto"/>
            <w:bottom w:val="none" w:sz="0" w:space="0" w:color="auto"/>
            <w:right w:val="none" w:sz="0" w:space="0" w:color="auto"/>
          </w:divBdr>
        </w:div>
      </w:divsChild>
    </w:div>
    <w:div w:id="1243225371">
      <w:bodyDiv w:val="1"/>
      <w:marLeft w:val="0"/>
      <w:marRight w:val="0"/>
      <w:marTop w:val="0"/>
      <w:marBottom w:val="0"/>
      <w:divBdr>
        <w:top w:val="none" w:sz="0" w:space="0" w:color="auto"/>
        <w:left w:val="none" w:sz="0" w:space="0" w:color="auto"/>
        <w:bottom w:val="none" w:sz="0" w:space="0" w:color="auto"/>
        <w:right w:val="none" w:sz="0" w:space="0" w:color="auto"/>
      </w:divBdr>
    </w:div>
    <w:div w:id="1327243093">
      <w:bodyDiv w:val="1"/>
      <w:marLeft w:val="0"/>
      <w:marRight w:val="0"/>
      <w:marTop w:val="0"/>
      <w:marBottom w:val="0"/>
      <w:divBdr>
        <w:top w:val="none" w:sz="0" w:space="0" w:color="auto"/>
        <w:left w:val="none" w:sz="0" w:space="0" w:color="auto"/>
        <w:bottom w:val="none" w:sz="0" w:space="0" w:color="auto"/>
        <w:right w:val="none" w:sz="0" w:space="0" w:color="auto"/>
      </w:divBdr>
    </w:div>
    <w:div w:id="1710568464">
      <w:bodyDiv w:val="1"/>
      <w:marLeft w:val="0"/>
      <w:marRight w:val="0"/>
      <w:marTop w:val="0"/>
      <w:marBottom w:val="0"/>
      <w:divBdr>
        <w:top w:val="none" w:sz="0" w:space="0" w:color="auto"/>
        <w:left w:val="none" w:sz="0" w:space="0" w:color="auto"/>
        <w:bottom w:val="none" w:sz="0" w:space="0" w:color="auto"/>
        <w:right w:val="none" w:sz="0" w:space="0" w:color="auto"/>
      </w:divBdr>
    </w:div>
    <w:div w:id="21427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social.desa.un.org/issues/disability/crpd/convention-on-the-rights-of-persons-with-disabilities-crpd" TargetMode="External"/><Relationship Id="rId13" Type="http://schemas.openxmlformats.org/officeDocument/2006/relationships/hyperlink" Target="mailto:https://ec.europa.eu/social/main.jsp?catId=738&amp;langId=en&amp;pubId=8376&amp;furtherPubs=y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ttps://eur-lex.europa.eu/legal-content/EN/TXT/?uri=CELEX:32019L0882" TargetMode="External"/><Relationship Id="rId12" Type="http://schemas.openxmlformats.org/officeDocument/2006/relationships/hyperlink" Target="mailto:https://education.ec.europa.eu/focus-topics/digital-education/action-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f-feph.org/your-rights-in-the-eu/" TargetMode="External"/><Relationship Id="rId1" Type="http://schemas.openxmlformats.org/officeDocument/2006/relationships/customXml" Target="../customXml/item1.xml"/><Relationship Id="rId6" Type="http://schemas.openxmlformats.org/officeDocument/2006/relationships/hyperlink" Target="mailto:https://eur-lex.europa.eu/eli/dir/2016/2102/oj" TargetMode="External"/><Relationship Id="rId11" Type="http://schemas.openxmlformats.org/officeDocument/2006/relationships/hyperlink" Target="mailto:https://eur-lex.europa.eu/legal-content/EN/TXT/?uri=CELEX:52021PC0085" TargetMode="External"/><Relationship Id="rId5" Type="http://schemas.openxmlformats.org/officeDocument/2006/relationships/hyperlink" Target="https://joinup.ec.europa.eu/collection/rolling-plan-ict-standardisation/accessibility-ict-products-and-services-0" TargetMode="External"/><Relationship Id="rId15" Type="http://schemas.openxmlformats.org/officeDocument/2006/relationships/hyperlink" Target="https://eur-lex.europa.eu/legal-content/EN/TXT/?uri=CELEX%3A32019L0882" TargetMode="External"/><Relationship Id="rId10" Type="http://schemas.openxmlformats.org/officeDocument/2006/relationships/hyperlink" Target="mailto:https://eur-lex.europa.eu/eli/dir/2018/1972/oj" TargetMode="External"/><Relationship Id="rId4" Type="http://schemas.openxmlformats.org/officeDocument/2006/relationships/webSettings" Target="webSettings.xml"/><Relationship Id="rId9" Type="http://schemas.openxmlformats.org/officeDocument/2006/relationships/hyperlink" Target="mailto:https://eur-lex.europa.eu/eli/dir/2018/1808/oj" TargetMode="External"/><Relationship Id="rId14" Type="http://schemas.openxmlformats.org/officeDocument/2006/relationships/hyperlink" Target="mailto:https://www.en-standard.eu/bs-en-17161-2019-design-for-all-accessibility-following-a-design-for-all-approach-in-products-goods-and-services-extending-the-range-of-users/?gclid=Cj0KCQiAsoycBhC6ARIsAPPbeLuRIfI4jTrjUI_mHw0IKk1EuEZdXKmF2RRLhJYliduRcG91bZVyZn4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02F4B-7E59-4B4D-86CC-D8C39534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1929</Words>
  <Characters>10421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2023-08-21T06:38:00Z</dcterms:created>
  <dcterms:modified xsi:type="dcterms:W3CDTF">2023-08-21T06:38:00Z</dcterms:modified>
</cp:coreProperties>
</file>