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-1903</wp:posOffset>
                </wp:positionH>
                <wp:positionV relativeFrom="page">
                  <wp:posOffset>-78102</wp:posOffset>
                </wp:positionV>
                <wp:extent cx="7639050" cy="1089723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6000" y="0"/>
                          <a:ext cx="7620000" cy="7560000"/>
                        </a:xfrm>
                        <a:prstGeom prst="rect">
                          <a:avLst/>
                        </a:prstGeom>
                        <a:solidFill>
                          <a:srgbClr val="FDFE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-1903</wp:posOffset>
                </wp:positionH>
                <wp:positionV relativeFrom="page">
                  <wp:posOffset>-78102</wp:posOffset>
                </wp:positionV>
                <wp:extent cx="7639050" cy="10897235"/>
                <wp:effectExtent b="0" l="0" r="0" t="0"/>
                <wp:wrapNone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1089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074527" cy="513873"/>
            <wp:effectExtent b="0" l="0" r="0" t="0"/>
            <wp:docPr id="4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4527" cy="5138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270" w:lineRule="auto"/>
        <w:ind w:left="3282" w:firstLine="0"/>
        <w:rPr/>
      </w:pPr>
      <w:r w:rsidDel="00000000" w:rsidR="00000000" w:rsidRPr="00000000">
        <w:rPr>
          <w:rtl w:val="0"/>
        </w:rPr>
        <w:t xml:space="preserve">Адаптиране на средата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-114297</wp:posOffset>
            </wp:positionH>
            <wp:positionV relativeFrom="paragraph">
              <wp:posOffset>-1082540</wp:posOffset>
            </wp:positionV>
            <wp:extent cx="1535145" cy="1494169"/>
            <wp:effectExtent b="0" l="0" r="0" t="0"/>
            <wp:wrapNone/>
            <wp:docPr id="3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5145" cy="14941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before="332" w:line="446" w:lineRule="auto"/>
        <w:ind w:left="3283" w:right="1433" w:firstLine="0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Стъпка „Предприемане на действие“ в образователния подход </w:t>
      </w:r>
    </w:p>
    <w:p w:rsidR="00000000" w:rsidDel="00000000" w:rsidP="00000000" w:rsidRDefault="00000000" w:rsidRPr="00000000" w14:paraId="00000008">
      <w:pPr>
        <w:spacing w:before="332" w:line="446" w:lineRule="auto"/>
        <w:ind w:left="3283" w:right="1433" w:firstLine="0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Подходящо за различни видове увреждания</w:t>
      </w:r>
    </w:p>
    <w:p w:rsidR="00000000" w:rsidDel="00000000" w:rsidP="00000000" w:rsidRDefault="00000000" w:rsidRPr="00000000" w14:paraId="00000009">
      <w:pPr>
        <w:spacing w:before="332" w:line="446" w:lineRule="auto"/>
        <w:ind w:left="403.0000000000001" w:right="1433" w:firstLine="0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Първа част „Зрителни увреждания“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before="1" w:lineRule="auto"/>
        <w:ind w:firstLine="657"/>
        <w:rPr/>
      </w:pPr>
      <w:r w:rsidDel="00000000" w:rsidR="00000000" w:rsidRPr="00000000">
        <w:rPr>
          <w:rtl w:val="0"/>
        </w:rPr>
        <w:t xml:space="preserve">Описание на дейността стъпка по стъпка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76" w:lineRule="auto"/>
        <w:ind w:left="720"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Обкръжаващата ни среда в повечето случаи по-скоро затруднява хората с нарушено зрение. За да я направим по-достъпна трябва да вземем предвид множество фактори, най-важните от които са: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Цветове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Контрасти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Обозначения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Осветление 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Отблясъци и отражения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Настилки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Шум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6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Излишни предмети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ind w:left="72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-17142</wp:posOffset>
                </wp:positionH>
                <wp:positionV relativeFrom="page">
                  <wp:posOffset>-32382</wp:posOffset>
                </wp:positionV>
                <wp:extent cx="7639050" cy="1089723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6000" y="0"/>
                          <a:ext cx="7620000" cy="7560000"/>
                        </a:xfrm>
                        <a:prstGeom prst="rect">
                          <a:avLst/>
                        </a:prstGeom>
                        <a:solidFill>
                          <a:srgbClr val="FDFE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-17142</wp:posOffset>
                </wp:positionH>
                <wp:positionV relativeFrom="page">
                  <wp:posOffset>-32382</wp:posOffset>
                </wp:positionV>
                <wp:extent cx="7639050" cy="10897235"/>
                <wp:effectExtent b="0" l="0" r="0" t="0"/>
                <wp:wrapNone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1089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Използване на цветове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1"/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Цветове стоящи срещуположно един на друг, дават най-добър контраст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1613047</wp:posOffset>
            </wp:positionV>
            <wp:extent cx="1636515" cy="329184"/>
            <wp:effectExtent b="0" l="0" r="0" t="0"/>
            <wp:wrapTopAndBottom distB="0" distT="0"/>
            <wp:docPr id="4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6515" cy="3291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2552700</wp:posOffset>
            </wp:positionH>
            <wp:positionV relativeFrom="paragraph">
              <wp:posOffset>246143</wp:posOffset>
            </wp:positionV>
            <wp:extent cx="1851660" cy="1485900"/>
            <wp:effectExtent b="0" l="0" r="0" t="0"/>
            <wp:wrapTopAndBottom distB="0" distT="0"/>
            <wp:docPr id="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Използване на контраст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срещуположните цветове дават най-добър контраст, но трябва да се замислим и по въпроса колко ярки и ясни са тези цветове.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Важни препоръки при използване на цветове и контраст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2606837</wp:posOffset>
            </wp:positionH>
            <wp:positionV relativeFrom="paragraph">
              <wp:posOffset>504825</wp:posOffset>
            </wp:positionV>
            <wp:extent cx="1950720" cy="1714500"/>
            <wp:effectExtent b="0" l="0" r="0" t="0"/>
            <wp:wrapTopAndBottom distB="0" distT="0"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widowControl w:val="1"/>
        <w:spacing w:line="276" w:lineRule="auto"/>
        <w:ind w:firstLine="720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3.1.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Важно е да има контраст между: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Дръжките на вратите и самите врати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Вратите и стените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Рамките на вратите - стените 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Помощните облегалки и дръжки и стените и пода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4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Стени - под</w:t>
      </w:r>
    </w:p>
    <w:p w:rsidR="00000000" w:rsidDel="00000000" w:rsidP="00000000" w:rsidRDefault="00000000" w:rsidRPr="00000000" w14:paraId="00000023">
      <w:pPr>
        <w:widowControl w:val="1"/>
        <w:spacing w:line="276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3.2. Как да измерим силата на цветовете и контраста: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Измерване на light reflectance value (LRV)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Контраст = ( B1 – B2 ) x 100 / B1, където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B1 = LRV на по-светлата зона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B2 = LRV на по-тъмната зона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LRV = 0 e буквално черно, а LRV = 100 – бяло.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2"/>
        </w:numPr>
        <w:spacing w:line="276" w:lineRule="auto"/>
        <w:ind w:left="1440" w:hanging="36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Търсим комбинации от цветове, при които контрастът е със стойност поне 70. </w:t>
      </w:r>
    </w:p>
    <w:p w:rsidR="00000000" w:rsidDel="00000000" w:rsidP="00000000" w:rsidRDefault="00000000" w:rsidRPr="00000000" w14:paraId="0000002A">
      <w:pPr>
        <w:widowControl w:val="1"/>
        <w:ind w:left="108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-85722</wp:posOffset>
                </wp:positionH>
                <wp:positionV relativeFrom="page">
                  <wp:posOffset>-71117</wp:posOffset>
                </wp:positionV>
                <wp:extent cx="7639050" cy="1089723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6000" y="0"/>
                          <a:ext cx="7620000" cy="7560000"/>
                        </a:xfrm>
                        <a:prstGeom prst="rect">
                          <a:avLst/>
                        </a:prstGeom>
                        <a:solidFill>
                          <a:srgbClr val="FDFE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-85722</wp:posOffset>
                </wp:positionH>
                <wp:positionV relativeFrom="page">
                  <wp:posOffset>-71117</wp:posOffset>
                </wp:positionV>
                <wp:extent cx="7639050" cy="10897235"/>
                <wp:effectExtent b="0" l="0" r="0" t="0"/>
                <wp:wrapNone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1089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1343025</wp:posOffset>
            </wp:positionH>
            <wp:positionV relativeFrom="paragraph">
              <wp:posOffset>371475</wp:posOffset>
            </wp:positionV>
            <wp:extent cx="4488180" cy="1173480"/>
            <wp:effectExtent b="0" l="0" r="0" t="0"/>
            <wp:wrapTopAndBottom distB="0" distT="0"/>
            <wp:docPr id="3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1173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widowControl w:val="1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Обозначения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 поставянето им е необходимо да бъде съобразено какъв да е размерът им, контраста и колко лесно могат да бъдат разбрани. От значение е и къде са поставени, за да могат да бъдат лесно различими. </w:t>
      </w:r>
    </w:p>
    <w:p w:rsidR="00000000" w:rsidDel="00000000" w:rsidP="00000000" w:rsidRDefault="00000000" w:rsidRPr="00000000" w14:paraId="0000002E">
      <w:pPr>
        <w:widowControl w:val="1"/>
        <w:ind w:firstLine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2868932</wp:posOffset>
            </wp:positionH>
            <wp:positionV relativeFrom="paragraph">
              <wp:posOffset>1895475</wp:posOffset>
            </wp:positionV>
            <wp:extent cx="1638300" cy="1630680"/>
            <wp:effectExtent b="0" l="0" r="0" t="0"/>
            <wp:wrapTopAndBottom distB="0" distT="0"/>
            <wp:docPr id="4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0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1592425</wp:posOffset>
            </wp:positionH>
            <wp:positionV relativeFrom="paragraph">
              <wp:posOffset>152400</wp:posOffset>
            </wp:positionV>
            <wp:extent cx="3977640" cy="1470660"/>
            <wp:effectExtent b="0" l="0" r="0" t="0"/>
            <wp:wrapTopAndBottom distB="0" distT="0"/>
            <wp:docPr id="3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1470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widowControl w:val="1"/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Осветление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Различните зрителни състояния изискват различно осветление, за да могат хората да виждат възможно най-добре.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27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Някои хора се нуждаят от повече светлина – други (например с албинизъм) се нуждаят от по-малко светлина. </w:t>
      </w:r>
    </w:p>
    <w:p w:rsidR="00000000" w:rsidDel="00000000" w:rsidP="00000000" w:rsidRDefault="00000000" w:rsidRPr="00000000" w14:paraId="00000032">
      <w:pPr>
        <w:widowControl w:val="1"/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Винаги питайте какво е предпочитаното осветление за всеки отделен член на групата.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Отблясъци и огледала</w:t>
      </w:r>
    </w:p>
    <w:p w:rsidR="00000000" w:rsidDel="00000000" w:rsidP="00000000" w:rsidRDefault="00000000" w:rsidRPr="00000000" w14:paraId="00000034">
      <w:pPr>
        <w:widowControl w:val="1"/>
        <w:spacing w:line="27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Отблясъците могат да причинят дискомфорт за хората с определени зрителни състояния. </w:t>
      </w:r>
    </w:p>
    <w:p w:rsidR="00000000" w:rsidDel="00000000" w:rsidP="00000000" w:rsidRDefault="00000000" w:rsidRPr="00000000" w14:paraId="00000035">
      <w:pPr>
        <w:widowControl w:val="1"/>
        <w:spacing w:line="276" w:lineRule="auto"/>
        <w:ind w:left="72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Огледалата могат да бъдат много объркващи, а тези без рамка, създават погрешна представа за това, което се намира пред нас.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left="72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Повърхности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различните видове повърхности могат да са в помощ на хора със загуба на зрение да се ориентират – трева, различна настилка, други тактилни елементи по настилката.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-17142</wp:posOffset>
                </wp:positionH>
                <wp:positionV relativeFrom="page">
                  <wp:posOffset>-146682</wp:posOffset>
                </wp:positionV>
                <wp:extent cx="7639050" cy="1089723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536000" y="0"/>
                          <a:ext cx="7620000" cy="7560000"/>
                        </a:xfrm>
                        <a:prstGeom prst="rect">
                          <a:avLst/>
                        </a:prstGeom>
                        <a:solidFill>
                          <a:srgbClr val="FDFE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-17142</wp:posOffset>
                </wp:positionH>
                <wp:positionV relativeFrom="page">
                  <wp:posOffset>-146682</wp:posOffset>
                </wp:positionV>
                <wp:extent cx="7639050" cy="10897235"/>
                <wp:effectExtent b="0" l="0" r="0" t="0"/>
                <wp:wrapNone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1089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Шум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шумът може да разсейва, да пречи на ориентацията и да обърква хора със загуба на зрение.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Излишни предмети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твърде многото вещи, предмети или елементи в средата затрудняват хората с нарушено зрение.</w:t>
      </w:r>
    </w:p>
    <w:p w:rsidR="00000000" w:rsidDel="00000000" w:rsidP="00000000" w:rsidRDefault="00000000" w:rsidRPr="00000000" w14:paraId="00000039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ind w:left="72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Втора част „Физически увреждания“</w:t>
      </w:r>
    </w:p>
    <w:p w:rsidR="00000000" w:rsidDel="00000000" w:rsidP="00000000" w:rsidRDefault="00000000" w:rsidRPr="00000000" w14:paraId="0000003D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3E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Обикновено, когато мислим за хора с физически увреждания, първото нещо, за което се сещаме, е иконата на човек в инвалидна количка. И това е най-разпространената представа, свързана с тях. Но всъщност физическите увреждания са много повече и различни по вид. Те могат да бъдат свързани както с ограничена физическа подвижност, така и с намалена сръчност.</w:t>
      </w:r>
    </w:p>
    <w:p w:rsidR="00000000" w:rsidDel="00000000" w:rsidP="00000000" w:rsidRDefault="00000000" w:rsidRPr="00000000" w14:paraId="0000003F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Като цяло хората с физически увреждания трудно се движат и извършват различни движения – вдигане на ръка, изправяне, сядане, ходене, вдигане и др.</w:t>
      </w:r>
    </w:p>
    <w:p w:rsidR="00000000" w:rsidDel="00000000" w:rsidP="00000000" w:rsidRDefault="00000000" w:rsidRPr="00000000" w14:paraId="00000040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След това увреждането може да бъде или върху определена част от тялото (например крак или ръка), или цялото тяло.</w:t>
      </w:r>
    </w:p>
    <w:p w:rsidR="00000000" w:rsidDel="00000000" w:rsidP="00000000" w:rsidRDefault="00000000" w:rsidRPr="00000000" w14:paraId="00000041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Друго разграничение, което можем да направим, е свързано с продължителността на увреждането. То може да бъде краткотрайно (временно), дълготрайно и постоянно. Такива наранявания са широко разпространени и обикновено могат да бъдат свързани с различни злополуки.</w:t>
      </w:r>
    </w:p>
    <w:p w:rsidR="00000000" w:rsidDel="00000000" w:rsidP="00000000" w:rsidRDefault="00000000" w:rsidRPr="00000000" w14:paraId="00000042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допълнение към този вид увреждане, някои са генетични или свързани със заболявания, които водят до физически увреждания.</w:t>
      </w:r>
    </w:p>
    <w:p w:rsidR="00000000" w:rsidDel="00000000" w:rsidP="00000000" w:rsidRDefault="00000000" w:rsidRPr="00000000" w14:paraId="00000043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Основните проблеми на хората с физически увреждания са движението им в градска среда, достъпът до обществени сгради и обществен транспорт. Има различни решения за улесняването им.</w:t>
      </w:r>
    </w:p>
    <w:p w:rsidR="00000000" w:rsidDel="00000000" w:rsidP="00000000" w:rsidRDefault="00000000" w:rsidRPr="00000000" w14:paraId="00000044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Когато говорим за придвижване в градска среда: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Маршрути без препятствия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Спуснати бордюри на тротоарите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По-широки и равни тротоари за инвалидни колички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Достъпни бутони за светофари за хора в инвалидни колички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Нехлъзгави стълби и парапети стълби в помощ на хора с намалена подвижност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Специално обособени паркоместа за хора с физически увреждания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Намаляване на скоростта в гъсто населени райони</w:t>
      </w:r>
    </w:p>
    <w:p w:rsidR="00000000" w:rsidDel="00000000" w:rsidP="00000000" w:rsidRDefault="00000000" w:rsidRPr="00000000" w14:paraId="0000004C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 обществени места като магазини, ресторанти, хотели и др.: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5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Рампи за достъп,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5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асансьори,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5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ескалатори,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5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Големи врати,</w:t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5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Обезопасени стълбища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5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Достъпни тоалетни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5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Специално обособени паркоместа за хора с физически увреждания</w:t>
      </w:r>
    </w:p>
    <w:p w:rsidR="00000000" w:rsidDel="00000000" w:rsidP="00000000" w:rsidRDefault="00000000" w:rsidRPr="00000000" w14:paraId="00000055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 градски транспорт:</w:t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7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Рампи за достъп,</w:t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7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асансьори,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7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ескалатори,</w:t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7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Големи врати,</w:t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7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Обезопасени стълби</w:t>
      </w:r>
    </w:p>
    <w:p w:rsidR="00000000" w:rsidDel="00000000" w:rsidP="00000000" w:rsidRDefault="00000000" w:rsidRPr="00000000" w14:paraId="0000005C">
      <w:pPr>
        <w:widowControl w:val="1"/>
        <w:numPr>
          <w:ilvl w:val="0"/>
          <w:numId w:val="7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Спуснати стоп бутони за ползватели на инвалидни колички,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7"/>
        </w:numPr>
        <w:ind w:left="144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Визуална и аудио информация за спирките, така че пътниците с намалена подвижност да знаят кога трябва да се подготвят за слизане от влака или автобуса.</w:t>
      </w:r>
    </w:p>
    <w:p w:rsidR="00000000" w:rsidDel="00000000" w:rsidP="00000000" w:rsidRDefault="00000000" w:rsidRPr="00000000" w14:paraId="0000005E">
      <w:pPr>
        <w:widowControl w:val="1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ind w:left="72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Трета част „Интелектуални затруднения“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" w:line="218" w:lineRule="auto"/>
        <w:ind w:left="657" w:right="513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Когато говорим за интелектуални затруднения, трябва да знаем какво представляват те и как се определят. Дефиницията за тях е следната: Интелектуално увреждане е термин, използван, увреждане е термин, използван, способността на дадено лице да учи на очаквано ниво и да функционира в ежедневието. Хората с подобни увреждания имат проблеми с проблемното мислене, концептуализиране, общуване и вземане на решения. За да се чувстват приобщени и да имат свободен достъп, е необходимо да им се осигури среда, в която да се чувстват сигурни и защитени.  На обществени места като магазини, ресторанти, хотели и др. е необходимо да има достъпна и лесна за четене информация, която хората с интелектуални затруднения лесно да разбират и използват.Това може да се постигне лесно с помощта на кратки изречения, без двусмислени изрази и използване на примери. За по-лесно ориентиране, особено в по-големите комплекси, са полезни карти и снимки на части от сградата. Отделно, пиктограмите са чудесен начин за посетители с интелектуални затруднения да се ориентират в околната среда. Безопасни стълбища – за свободното придвижване на този тип посетители е необходимо стълбите да са с подходящо осветление, контрастни и противоплъзгащи ръбове. В обществения транспорт все по-често се използва аудиовизуално представяне на информация по маршрута (напр. следваща спирка, възможност за прекачване на друг транспорт и др.). Може също така да се работи за опростяване на действията, които се изискват от пътниците и по-специално от тези с интелектуални затруднения, за да се улесни тяхното придвижване.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" w:line="218" w:lineRule="auto"/>
        <w:ind w:left="657" w:right="513" w:firstLine="62.9999999999999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" w:line="218" w:lineRule="auto"/>
        <w:ind w:left="0" w:right="513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Вижте видеото към материала:</w:t>
      </w:r>
    </w:p>
    <w:p w:rsidR="00000000" w:rsidDel="00000000" w:rsidP="00000000" w:rsidRDefault="00000000" w:rsidRPr="00000000" w14:paraId="00000063">
      <w:pPr>
        <w:spacing w:before="277" w:line="218" w:lineRule="auto"/>
        <w:ind w:left="657" w:right="513" w:firstLine="62.99999999999997"/>
        <w:rPr>
          <w:sz w:val="28"/>
          <w:szCs w:val="28"/>
        </w:rPr>
      </w:pP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3"/>
            <w:szCs w:val="23"/>
            <w:highlight w:val="white"/>
            <w:u w:val="single"/>
            <w:rtl w:val="0"/>
          </w:rPr>
          <w:t xml:space="preserve">https://youtu.be/zw0zHI0oNIk</w:t>
        </w:r>
      </w:hyperlink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ind w:firstLine="65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ind w:firstLine="657"/>
        <w:rPr/>
      </w:pPr>
      <w:r w:rsidDel="00000000" w:rsidR="00000000" w:rsidRPr="00000000">
        <w:rPr>
          <w:rtl w:val="0"/>
        </w:rPr>
        <w:t xml:space="preserve">Връзки към други ресурси: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657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Lucida Sans" w:cs="Lucida Sans" w:eastAsia="Lucida Sans" w:hAnsi="Lucida Sans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https://www.ukcoaching.org/resources/topics/toolkits/supporting-people- with-a-visual-impairment-toolkit/what-makes-an-accessible-environment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657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1" w:lineRule="auto"/>
        <w:ind w:left="657" w:firstLine="0"/>
        <w:rPr>
          <w:sz w:val="28"/>
          <w:szCs w:val="28"/>
        </w:rPr>
      </w:pPr>
      <w:hyperlink r:id="rId2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https://www.inclusivecitymaker.com/accessibility-solutions-different-types-physical-disabilities/?fbclid=IwAR3jxiJk3fGWl__APjRN4KcfpGZSJYwEP11X2ZvhTMJtlqBt7E6DXnw4SZQ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before="11" w:lineRule="auto"/>
        <w:ind w:left="65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11" w:lineRule="auto"/>
        <w:ind w:left="657" w:firstLine="0"/>
        <w:rPr>
          <w:sz w:val="28"/>
          <w:szCs w:val="28"/>
        </w:rPr>
      </w:pPr>
      <w:hyperlink r:id="rId2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https://www.inclusivecitymaker.com/accessibility-people-physical-disabilities-public-venues/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before="11" w:lineRule="auto"/>
        <w:ind w:left="65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11" w:lineRule="auto"/>
        <w:ind w:left="657" w:firstLine="0"/>
        <w:rPr>
          <w:sz w:val="28"/>
          <w:szCs w:val="28"/>
        </w:rPr>
      </w:pPr>
      <w:hyperlink r:id="rId2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https://www.cdc.gov/ncbddd/developmentaldisabilities/facts-about-intellectual-disability.html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before="11" w:lineRule="auto"/>
        <w:ind w:left="65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11" w:lineRule="auto"/>
        <w:ind w:left="657" w:firstLine="0"/>
        <w:rPr>
          <w:sz w:val="28"/>
          <w:szCs w:val="28"/>
        </w:rPr>
      </w:pPr>
      <w:hyperlink r:id="rId2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https://www.inclusivecitymaker.com/transport-accessibility-intellectual-disability/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before="11" w:lineRule="auto"/>
        <w:ind w:left="657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11" w:lineRule="auto"/>
        <w:ind w:left="657" w:firstLine="0"/>
        <w:rPr>
          <w:sz w:val="28"/>
          <w:szCs w:val="28"/>
        </w:rPr>
      </w:pPr>
      <w:hyperlink r:id="rId2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https://www.inclusivecitymaker.com/9-tips-welcome-person-intellectual-disability/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657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50" w:w="11900" w:orient="portrait"/>
      <w:pgMar w:bottom="280" w:top="0" w:left="180" w:right="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ucida San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7"/>
    </w:pPr>
    <w:rPr>
      <w:rFonts w:ascii="Arial" w:cs="Arial" w:eastAsia="Arial" w:hAnsi="Arial"/>
      <w:b w:val="1"/>
      <w:sz w:val="34"/>
      <w:szCs w:val="34"/>
    </w:rPr>
  </w:style>
  <w:style w:type="paragraph" w:styleId="Heading2">
    <w:name w:val="heading 2"/>
    <w:basedOn w:val="Normal"/>
    <w:next w:val="Normal"/>
    <w:pPr>
      <w:ind w:left="657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7"/>
    </w:pPr>
    <w:rPr>
      <w:rFonts w:ascii="Arial" w:cs="Arial" w:eastAsia="Arial" w:hAnsi="Arial"/>
      <w:b w:val="1"/>
      <w:sz w:val="34"/>
      <w:szCs w:val="34"/>
    </w:rPr>
  </w:style>
  <w:style w:type="paragraph" w:styleId="Heading2">
    <w:name w:val="heading 2"/>
    <w:basedOn w:val="Normal"/>
    <w:next w:val="Normal"/>
    <w:pPr>
      <w:ind w:left="657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Lucida Sans Unicode" w:cs="Lucida Sans Unicode" w:eastAsia="Lucida Sans Unicode" w:hAnsi="Lucida Sans Unicode"/>
    </w:rPr>
  </w:style>
  <w:style w:type="paragraph" w:styleId="Heading1">
    <w:name w:val="heading 1"/>
    <w:basedOn w:val="Normal"/>
    <w:uiPriority w:val="9"/>
    <w:qFormat w:val="1"/>
    <w:pPr>
      <w:ind w:left="657"/>
      <w:outlineLvl w:val="0"/>
    </w:pPr>
    <w:rPr>
      <w:rFonts w:ascii="Arial" w:cs="Arial" w:eastAsia="Arial" w:hAnsi="Arial"/>
      <w:b w:val="1"/>
      <w:bCs w:val="1"/>
      <w:sz w:val="34"/>
      <w:szCs w:val="34"/>
    </w:rPr>
  </w:style>
  <w:style w:type="paragraph" w:styleId="Heading2">
    <w:name w:val="heading 2"/>
    <w:basedOn w:val="Normal"/>
    <w:uiPriority w:val="9"/>
    <w:unhideWhenUsed w:val="1"/>
    <w:qFormat w:val="1"/>
    <w:pPr>
      <w:ind w:left="657"/>
      <w:outlineLvl w:val="1"/>
    </w:pPr>
    <w:rPr>
      <w:rFonts w:ascii="Arial" w:cs="Arial" w:eastAsia="Arial" w:hAnsi="Arial"/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8"/>
      <w:szCs w:val="2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542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28A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7911D6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kcoaching.org/resources/topics/toolkits/supporting-people-%20with-a-visual-impairment-toolkit/what-makes-an-accessible-environment" TargetMode="External"/><Relationship Id="rId22" Type="http://schemas.openxmlformats.org/officeDocument/2006/relationships/hyperlink" Target="https://www.inclusivecitymaker.com/accessibility-people-physical-disabilities-public-venues/" TargetMode="External"/><Relationship Id="rId21" Type="http://schemas.openxmlformats.org/officeDocument/2006/relationships/hyperlink" Target="https://www.inclusivecitymaker.com/accessibility-solutions-different-types-physical-disabilities/?fbclid=IwAR3jxiJk3fGWl__APjRN4KcfpGZSJYwEP11X2ZvhTMJtlqBt7E6DXnw4SZQ" TargetMode="External"/><Relationship Id="rId24" Type="http://schemas.openxmlformats.org/officeDocument/2006/relationships/hyperlink" Target="https://www.inclusivecitymaker.com/transport-accessibility-intellectual-disability/" TargetMode="External"/><Relationship Id="rId23" Type="http://schemas.openxmlformats.org/officeDocument/2006/relationships/hyperlink" Target="https://www.cdc.gov/ncbddd/developmentaldisabilities/facts-about-intellectual-disability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5" Type="http://schemas.openxmlformats.org/officeDocument/2006/relationships/hyperlink" Target="https://www.inclusivecitymaker.com/9-tips-welcome-person-intellectual-disabilit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7.png"/><Relationship Id="rId11" Type="http://schemas.openxmlformats.org/officeDocument/2006/relationships/image" Target="media/image8.png"/><Relationship Id="rId10" Type="http://schemas.openxmlformats.org/officeDocument/2006/relationships/image" Target="media/image10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5" Type="http://schemas.openxmlformats.org/officeDocument/2006/relationships/image" Target="media/image2.png"/><Relationship Id="rId14" Type="http://schemas.openxmlformats.org/officeDocument/2006/relationships/image" Target="media/image11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9" Type="http://schemas.openxmlformats.org/officeDocument/2006/relationships/hyperlink" Target="https://youtu.be/zw0zHI0oNIk" TargetMode="External"/><Relationship Id="rId1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TbQ5op8M8SeKQL90r9Wk6B+bXQ==">AMUW2mWUQVlPi1wv3zdT7C3qRDHp7KsvvJjRDGveaEH0lJJtPgZV7+23qkO+ijHH9gwHh2dMMVOeDP5wLtdd+Ryb0kQCfcJn8cM1VO7dvn8ou0L+4IWNph8=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2022-10-25T12:55:00Z</dcterms:created>
  <dc:creator>sergiu.mir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Canva</vt:lpwstr>
  </property>
  <property fmtid="{D5CDD505-2E9C-101B-9397-08002B2CF9AE}" pid="4" name="LastSaved">
    <vt:filetime>2022-10-07T00:00:00Z</vt:filetime>
  </property>
</Properties>
</file>